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115651" w14:textId="77777777" w:rsidR="00642247" w:rsidRDefault="008A2D07">
      <w:pPr>
        <w:jc w:val="right"/>
      </w:pPr>
      <w:r>
        <w:t xml:space="preserve">Додаток 1                                                                                   </w:t>
      </w:r>
    </w:p>
    <w:p w14:paraId="122955F1" w14:textId="77777777" w:rsidR="00642247" w:rsidRDefault="008A2D07">
      <w:pPr>
        <w:shd w:val="clear" w:color="auto" w:fill="FFFFFF"/>
        <w:ind w:right="58"/>
        <w:jc w:val="right"/>
      </w:pPr>
      <w:r>
        <w:t xml:space="preserve"> до реєстраційного посвідчення AA-06429-01-16</w:t>
      </w:r>
    </w:p>
    <w:p w14:paraId="6E9F6A35" w14:textId="77777777" w:rsidR="00642247" w:rsidRDefault="00642247">
      <w:pPr>
        <w:shd w:val="clear" w:color="auto" w:fill="FFFFFF"/>
        <w:ind w:right="58"/>
        <w:jc w:val="right"/>
        <w:rPr>
          <w:b/>
          <w:spacing w:val="-8"/>
        </w:rPr>
      </w:pPr>
    </w:p>
    <w:p w14:paraId="74BA7600" w14:textId="77777777" w:rsidR="00642247" w:rsidRDefault="008A2D07">
      <w:pPr>
        <w:shd w:val="clear" w:color="auto" w:fill="FFFFFF"/>
        <w:ind w:right="253"/>
        <w:jc w:val="center"/>
        <w:rPr>
          <w:b/>
          <w:lang w:val="uk-UA"/>
        </w:rPr>
      </w:pPr>
      <w:r>
        <w:rPr>
          <w:b/>
          <w:spacing w:val="-8"/>
          <w:lang w:val="uk-UA"/>
        </w:rPr>
        <w:t>Коротка характеристика препарату</w:t>
      </w:r>
    </w:p>
    <w:p w14:paraId="304DDCDB" w14:textId="77777777" w:rsidR="00642247" w:rsidRDefault="00642247">
      <w:pPr>
        <w:ind w:right="253"/>
        <w:jc w:val="both"/>
        <w:rPr>
          <w:lang w:val="uk-UA"/>
        </w:rPr>
      </w:pPr>
    </w:p>
    <w:p w14:paraId="361E84F7" w14:textId="77777777" w:rsidR="00642247" w:rsidRDefault="008A2D07">
      <w:pPr>
        <w:ind w:right="253" w:firstLine="567"/>
        <w:jc w:val="both"/>
        <w:rPr>
          <w:b/>
          <w:lang w:val="uk-UA"/>
        </w:rPr>
      </w:pPr>
      <w:r>
        <w:rPr>
          <w:b/>
          <w:lang w:val="uk-UA"/>
        </w:rPr>
        <w:t>1.Назва</w:t>
      </w:r>
    </w:p>
    <w:p w14:paraId="4BDFD58A" w14:textId="77777777" w:rsidR="00642247" w:rsidRDefault="008A2D07">
      <w:pPr>
        <w:ind w:right="253" w:firstLine="567"/>
        <w:jc w:val="both"/>
        <w:rPr>
          <w:vertAlign w:val="superscript"/>
          <w:lang w:val="uk-UA"/>
        </w:rPr>
      </w:pPr>
      <w:r>
        <w:rPr>
          <w:lang w:val="uk-UA"/>
        </w:rPr>
        <w:t>Аматіб</w:t>
      </w:r>
      <w:r>
        <w:rPr>
          <w:vertAlign w:val="superscript"/>
          <w:lang w:val="uk-UA"/>
        </w:rPr>
        <w:sym w:font="Symbol" w:char="F0D2"/>
      </w:r>
    </w:p>
    <w:p w14:paraId="650FF8DB" w14:textId="77777777" w:rsidR="00642247" w:rsidRDefault="008A2D07">
      <w:pPr>
        <w:ind w:right="253" w:firstLine="567"/>
        <w:jc w:val="both"/>
        <w:rPr>
          <w:b/>
          <w:lang w:val="uk-UA"/>
        </w:rPr>
      </w:pPr>
      <w:r>
        <w:rPr>
          <w:b/>
          <w:lang w:val="uk-UA"/>
        </w:rPr>
        <w:t>2.Склад</w:t>
      </w:r>
    </w:p>
    <w:p w14:paraId="30CACEB7" w14:textId="77777777" w:rsidR="00642247" w:rsidRDefault="008A2D07">
      <w:pPr>
        <w:tabs>
          <w:tab w:val="left" w:pos="284"/>
        </w:tabs>
        <w:ind w:right="253" w:firstLine="567"/>
        <w:jc w:val="both"/>
        <w:rPr>
          <w:lang w:val="uk-UA"/>
        </w:rPr>
      </w:pPr>
      <w:r>
        <w:rPr>
          <w:lang w:val="uk-UA"/>
        </w:rPr>
        <w:t xml:space="preserve">1 г препарату містить діючу речовину: </w:t>
      </w:r>
    </w:p>
    <w:p w14:paraId="6F68FE32" w14:textId="77777777" w:rsidR="00642247" w:rsidRDefault="008A2D07">
      <w:pPr>
        <w:tabs>
          <w:tab w:val="left" w:pos="284"/>
        </w:tabs>
        <w:ind w:right="253" w:firstLine="567"/>
        <w:jc w:val="both"/>
        <w:rPr>
          <w:lang w:val="uk-UA"/>
        </w:rPr>
      </w:pPr>
      <w:r>
        <w:rPr>
          <w:lang w:val="uk-UA"/>
        </w:rPr>
        <w:t xml:space="preserve">амоксициліну тригідрат – 800 мг (що відповідає 697 мг амоксициліну). </w:t>
      </w:r>
    </w:p>
    <w:p w14:paraId="29ECBB74" w14:textId="77777777" w:rsidR="00642247" w:rsidRDefault="008A2D07">
      <w:pPr>
        <w:tabs>
          <w:tab w:val="left" w:pos="284"/>
        </w:tabs>
        <w:ind w:right="253" w:firstLine="567"/>
        <w:jc w:val="both"/>
        <w:rPr>
          <w:i/>
          <w:lang w:val="uk-UA"/>
        </w:rPr>
      </w:pPr>
      <w:r>
        <w:rPr>
          <w:lang w:val="uk-UA"/>
        </w:rPr>
        <w:t>Допоміжні речовини: натрію карбонат моногідрат, натрію цитрат, кремній колоїдний безводний.</w:t>
      </w:r>
    </w:p>
    <w:p w14:paraId="79E00B35" w14:textId="77777777" w:rsidR="00642247" w:rsidRDefault="008A2D07">
      <w:pPr>
        <w:ind w:right="253" w:firstLine="567"/>
        <w:jc w:val="both"/>
        <w:rPr>
          <w:b/>
          <w:lang w:val="uk-UA"/>
        </w:rPr>
      </w:pPr>
      <w:r>
        <w:rPr>
          <w:b/>
          <w:lang w:val="uk-UA"/>
        </w:rPr>
        <w:t>3.Фармацевтична форма.</w:t>
      </w:r>
    </w:p>
    <w:p w14:paraId="231AE7B1" w14:textId="77777777" w:rsidR="00642247" w:rsidRDefault="008A2D07">
      <w:pPr>
        <w:tabs>
          <w:tab w:val="left" w:pos="284"/>
        </w:tabs>
        <w:ind w:right="253" w:firstLine="567"/>
        <w:jc w:val="both"/>
        <w:rPr>
          <w:lang w:val="uk-UA"/>
        </w:rPr>
      </w:pPr>
      <w:r>
        <w:rPr>
          <w:lang w:val="uk-UA"/>
        </w:rPr>
        <w:t>Порошок для перорального застосування.</w:t>
      </w:r>
    </w:p>
    <w:p w14:paraId="5A373975" w14:textId="77777777" w:rsidR="00642247" w:rsidRDefault="008A2D07">
      <w:pPr>
        <w:ind w:right="253" w:firstLine="567"/>
        <w:jc w:val="both"/>
        <w:rPr>
          <w:b/>
          <w:lang w:val="uk-UA"/>
        </w:rPr>
      </w:pPr>
      <w:r>
        <w:rPr>
          <w:b/>
          <w:lang w:val="uk-UA"/>
        </w:rPr>
        <w:t>4.Фармакологічні властивості</w:t>
      </w:r>
    </w:p>
    <w:p w14:paraId="13A41446" w14:textId="77777777" w:rsidR="00642247" w:rsidRDefault="008A2D07">
      <w:pPr>
        <w:ind w:right="253" w:firstLine="567"/>
        <w:jc w:val="both"/>
        <w:rPr>
          <w:lang w:val="uk-UA"/>
        </w:rPr>
      </w:pPr>
      <w:r>
        <w:t>ATC</w:t>
      </w:r>
      <w:r>
        <w:rPr>
          <w:lang w:val="uk-UA"/>
        </w:rPr>
        <w:t xml:space="preserve"> </w:t>
      </w:r>
      <w:r>
        <w:t>vet</w:t>
      </w:r>
      <w:r>
        <w:rPr>
          <w:lang w:val="uk-UA"/>
        </w:rPr>
        <w:t xml:space="preserve"> класифікаційний код </w:t>
      </w:r>
      <w:r>
        <w:t>QJ</w:t>
      </w:r>
      <w:r>
        <w:rPr>
          <w:lang w:val="uk-UA"/>
        </w:rPr>
        <w:t xml:space="preserve">01- антибактеріальні ветеринарні препарати для системного застосування. </w:t>
      </w:r>
      <w:r>
        <w:t>QJ</w:t>
      </w:r>
      <w:r>
        <w:rPr>
          <w:lang w:val="uk-UA"/>
        </w:rPr>
        <w:t>01</w:t>
      </w:r>
      <w:r>
        <w:t>CA</w:t>
      </w:r>
      <w:r>
        <w:rPr>
          <w:lang w:val="uk-UA"/>
        </w:rPr>
        <w:t>04 - Амоксицилін.</w:t>
      </w:r>
    </w:p>
    <w:p w14:paraId="18AA81F2" w14:textId="77777777" w:rsidR="00642247" w:rsidRDefault="008A2D07">
      <w:pPr>
        <w:ind w:right="253" w:firstLine="567"/>
        <w:jc w:val="both"/>
        <w:rPr>
          <w:lang w:val="uk-UA"/>
        </w:rPr>
      </w:pPr>
      <w:r>
        <w:rPr>
          <w:lang w:val="uk-UA"/>
        </w:rPr>
        <w:t>Амоксицилін – напівсинтетичний пеніцилін, чутливий до дії пеніцилінази. Це бактерицидний антибіотик широкого спектру дії, що належить до беталактамної групи. Амоксицилін порушує синтез бактеріальної клітинної стінки шляхом інгібування ензимів транспептидаза та карбоксипептидаза, що викликає осмотичний дисбаланс та загибель бактерії у фазі росту. Амоксицилін виявляє активність проти грампозитивних (</w:t>
      </w:r>
      <w:r>
        <w:rPr>
          <w:i/>
          <w:iCs/>
          <w:lang w:val="uk-UA"/>
        </w:rPr>
        <w:t>Clostridium spp., Erysipelothrix rhusiopathiae, Streptococcus spp.</w:t>
      </w:r>
      <w:r>
        <w:rPr>
          <w:lang w:val="uk-UA"/>
        </w:rPr>
        <w:t xml:space="preserve"> та </w:t>
      </w:r>
      <w:r>
        <w:rPr>
          <w:i/>
          <w:iCs/>
          <w:lang w:val="uk-UA"/>
        </w:rPr>
        <w:t xml:space="preserve">Staphylococcus spp.) </w:t>
      </w:r>
      <w:r>
        <w:rPr>
          <w:lang w:val="uk-UA"/>
        </w:rPr>
        <w:t>та грамнегативних (</w:t>
      </w:r>
      <w:r>
        <w:rPr>
          <w:i/>
          <w:iCs/>
          <w:lang w:val="uk-UA"/>
        </w:rPr>
        <w:t>Actinobacillus pleuropneumoniae, Pasteurella multocida, Haemophilus spp.</w:t>
      </w:r>
      <w:r>
        <w:rPr>
          <w:iCs/>
          <w:lang w:val="uk-UA"/>
        </w:rPr>
        <w:t>)</w:t>
      </w:r>
      <w:r>
        <w:rPr>
          <w:lang w:val="uk-UA"/>
        </w:rPr>
        <w:t xml:space="preserve"> бактерій.</w:t>
      </w:r>
    </w:p>
    <w:p w14:paraId="6047E373" w14:textId="77777777" w:rsidR="00642247" w:rsidRDefault="008A2D07">
      <w:pPr>
        <w:ind w:right="253" w:firstLine="567"/>
        <w:jc w:val="both"/>
        <w:rPr>
          <w:lang w:val="uk-UA"/>
        </w:rPr>
      </w:pPr>
      <w:r>
        <w:rPr>
          <w:lang w:val="uk-UA"/>
        </w:rPr>
        <w:t xml:space="preserve">Амоксицилін швидко абсорбується після перорального застосування, максимальна концетрація у сироватці крові досягається протягом 2-4 годин. Після застосування амоксициліну у терапевтичній дозі (10 мг амоксициліну на 1 кг маси тіла) у телят максимальна концентрація у сироватці крові становить приблизно 1,0-0,5 мкг/мл; подібні концентрації амоксициліну можуть досягатися у птиці та свиней, після лікування концентрації значно нижчі. Біологічна доступність амоксициліну при пероральному застосуванні становить приблизно 50% у телят, свиней та курей і є вищою, порівняно з ампіциліном. </w:t>
      </w:r>
    </w:p>
    <w:p w14:paraId="40ED9801" w14:textId="77777777" w:rsidR="00642247" w:rsidRDefault="008A2D07">
      <w:pPr>
        <w:suppressAutoHyphens/>
        <w:ind w:right="253" w:firstLine="567"/>
        <w:jc w:val="both"/>
        <w:rPr>
          <w:lang w:val="uk-UA"/>
        </w:rPr>
      </w:pPr>
      <w:r>
        <w:rPr>
          <w:lang w:val="uk-UA"/>
        </w:rPr>
        <w:t>Амоксицилін широко розподіляється по тканинам організму. Високі його рівні досягаються в сечі, жовчі, нирках та печінці. Коефіцієнт розподілення (AUC тканина/AUC плазма) становить приблизно 0,5 – для тканин легень; 1,0 - для плевральної рідини. 20-30% амоксициліну з’єднується з білками сироватки крові. Амоксицилін частково метаболізується шляхом гідролізу до пеніциліанової кислоти (неактивної).</w:t>
      </w:r>
    </w:p>
    <w:p w14:paraId="75ED4769" w14:textId="0CC48ADC" w:rsidR="00642247" w:rsidRDefault="008A2D07">
      <w:pPr>
        <w:suppressAutoHyphens/>
        <w:ind w:right="253" w:firstLine="567"/>
        <w:jc w:val="both"/>
        <w:rPr>
          <w:lang w:val="uk-UA" w:eastAsia="ar-SA"/>
        </w:rPr>
      </w:pPr>
      <w:r>
        <w:rPr>
          <w:lang w:val="uk-UA"/>
        </w:rPr>
        <w:t xml:space="preserve"> Амоксицилін виділяється, в основному, з сечею та жовчу у незміненому вигляді; невелика частина виділяється з молоком. При  маститах концентрації амоксициліну у молоці значно вищі. </w:t>
      </w:r>
    </w:p>
    <w:p w14:paraId="2AD97A50" w14:textId="77777777" w:rsidR="00642247" w:rsidRDefault="008A2D07">
      <w:pPr>
        <w:ind w:right="253" w:firstLine="567"/>
        <w:jc w:val="both"/>
        <w:rPr>
          <w:b/>
          <w:lang w:val="uk-UA"/>
        </w:rPr>
      </w:pPr>
      <w:r>
        <w:rPr>
          <w:b/>
          <w:lang w:val="uk-UA"/>
        </w:rPr>
        <w:t>5. Клінічні особливості</w:t>
      </w:r>
    </w:p>
    <w:p w14:paraId="74360994" w14:textId="77777777" w:rsidR="00642247" w:rsidRDefault="008A2D07">
      <w:pPr>
        <w:ind w:right="253" w:firstLine="567"/>
        <w:jc w:val="both"/>
        <w:rPr>
          <w:b/>
          <w:lang w:val="uk-UA"/>
        </w:rPr>
      </w:pPr>
      <w:r>
        <w:rPr>
          <w:b/>
          <w:lang w:val="uk-UA"/>
        </w:rPr>
        <w:t>5.1 Вид тварин</w:t>
      </w:r>
    </w:p>
    <w:p w14:paraId="581A6DA6" w14:textId="77777777" w:rsidR="00642247" w:rsidRDefault="008A2D07">
      <w:pPr>
        <w:ind w:right="253" w:firstLine="567"/>
        <w:jc w:val="both"/>
        <w:rPr>
          <w:lang w:val="uk-UA"/>
        </w:rPr>
      </w:pPr>
      <w:r>
        <w:rPr>
          <w:lang w:val="uk-UA" w:eastAsia="en-US"/>
        </w:rPr>
        <w:t>Свині та свійська птиця (курчата, кури-бройлери, ремонтний молодняк).</w:t>
      </w:r>
    </w:p>
    <w:p w14:paraId="08ED4EF4" w14:textId="77777777" w:rsidR="00642247" w:rsidRDefault="008A2D07">
      <w:pPr>
        <w:ind w:right="253" w:firstLine="567"/>
        <w:jc w:val="both"/>
        <w:rPr>
          <w:b/>
          <w:lang w:val="uk-UA"/>
        </w:rPr>
      </w:pPr>
      <w:r>
        <w:rPr>
          <w:b/>
          <w:lang w:val="uk-UA"/>
        </w:rPr>
        <w:t>5.2 Показання до застосування</w:t>
      </w:r>
    </w:p>
    <w:p w14:paraId="12FA8B5C" w14:textId="77777777" w:rsidR="00642247" w:rsidRDefault="008A2D07">
      <w:pPr>
        <w:tabs>
          <w:tab w:val="left" w:pos="567"/>
        </w:tabs>
        <w:ind w:right="253" w:firstLine="567"/>
        <w:jc w:val="both"/>
        <w:rPr>
          <w:lang w:val="uk-UA"/>
        </w:rPr>
      </w:pPr>
      <w:r>
        <w:rPr>
          <w:lang w:val="uk-UA"/>
        </w:rPr>
        <w:t>Свині: лікування тварин при захворюваннях травного каналу та органів дихання, а також хворих на менінгіт, артрит, вторинні інфекції, що спричинені мікроорганізмами, чутливими до амоксициліну.</w:t>
      </w:r>
    </w:p>
    <w:p w14:paraId="30C0FC0C" w14:textId="77777777" w:rsidR="00642247" w:rsidRDefault="008A2D07">
      <w:pPr>
        <w:tabs>
          <w:tab w:val="left" w:pos="567"/>
        </w:tabs>
        <w:ind w:right="253" w:firstLine="567"/>
        <w:jc w:val="both"/>
        <w:rPr>
          <w:lang w:val="uk-UA"/>
        </w:rPr>
      </w:pPr>
      <w:r>
        <w:rPr>
          <w:lang w:val="uk-UA" w:eastAsia="en-US"/>
        </w:rPr>
        <w:tab/>
        <w:t xml:space="preserve">Свійська птиця (курчата, кури-бройлери, ремонтний молодняк): лікування птиці при </w:t>
      </w:r>
      <w:r>
        <w:rPr>
          <w:lang w:val="uk-UA"/>
        </w:rPr>
        <w:t xml:space="preserve">захворюваннях органів дихання та травного каналу (окрім сальмонельозу), що спричинені мікроорганізмами, чутливими до амоксициліну. </w:t>
      </w:r>
    </w:p>
    <w:p w14:paraId="769237F7" w14:textId="77777777" w:rsidR="00642247" w:rsidRDefault="008A2D07">
      <w:pPr>
        <w:ind w:right="253" w:firstLine="567"/>
        <w:jc w:val="both"/>
        <w:rPr>
          <w:b/>
          <w:lang w:val="uk-UA"/>
        </w:rPr>
      </w:pPr>
      <w:r>
        <w:rPr>
          <w:b/>
          <w:lang w:val="uk-UA"/>
        </w:rPr>
        <w:t>5.3 Протипоказання</w:t>
      </w:r>
    </w:p>
    <w:p w14:paraId="6279F63D" w14:textId="77777777" w:rsidR="00642247" w:rsidRDefault="008A2D07">
      <w:pPr>
        <w:ind w:firstLine="567"/>
        <w:jc w:val="both"/>
        <w:rPr>
          <w:lang w:val="uk-UA"/>
        </w:rPr>
      </w:pPr>
      <w:r>
        <w:rPr>
          <w:lang w:val="uk-UA"/>
        </w:rPr>
        <w:t>Підвищена чутливість до амоксициліну (пеніцилінів).</w:t>
      </w:r>
    </w:p>
    <w:p w14:paraId="7BE87792" w14:textId="77777777" w:rsidR="00642247" w:rsidRPr="008E3010" w:rsidRDefault="008A2D07">
      <w:pPr>
        <w:ind w:right="253" w:firstLine="567"/>
        <w:jc w:val="both"/>
        <w:rPr>
          <w:lang w:val="uk-UA"/>
        </w:rPr>
      </w:pPr>
      <w:r w:rsidRPr="008E3010">
        <w:rPr>
          <w:lang w:val="uk-UA"/>
        </w:rPr>
        <w:t>Не застосовувати курям</w:t>
      </w:r>
      <w:r>
        <w:rPr>
          <w:lang w:val="uk-UA"/>
        </w:rPr>
        <w:t>-</w:t>
      </w:r>
      <w:r w:rsidRPr="008E3010">
        <w:rPr>
          <w:lang w:val="uk-UA"/>
        </w:rPr>
        <w:t>несучкам, яйця яких використовують для споживання людям</w:t>
      </w:r>
      <w:r>
        <w:rPr>
          <w:lang w:val="uk-UA"/>
        </w:rPr>
        <w:t>.</w:t>
      </w:r>
    </w:p>
    <w:p w14:paraId="20400E15" w14:textId="77777777" w:rsidR="00642247" w:rsidRPr="008E3010" w:rsidRDefault="00642247">
      <w:pPr>
        <w:ind w:right="253" w:firstLine="567"/>
        <w:jc w:val="both"/>
        <w:rPr>
          <w:lang w:val="uk-UA"/>
        </w:rPr>
      </w:pPr>
    </w:p>
    <w:p w14:paraId="48209624" w14:textId="77777777" w:rsidR="00525DCB" w:rsidRDefault="00525DCB">
      <w:pPr>
        <w:rPr>
          <w:lang w:val="uk-UA" w:eastAsia="uk-UA"/>
        </w:rPr>
      </w:pPr>
      <w:r>
        <w:br w:type="page"/>
      </w:r>
    </w:p>
    <w:p w14:paraId="546900C9" w14:textId="44A9FB75" w:rsidR="00642247" w:rsidRDefault="008A2D07">
      <w:pPr>
        <w:pStyle w:val="ac"/>
        <w:jc w:val="right"/>
        <w:rPr>
          <w:rFonts w:ascii="Times New Roman" w:hAnsi="Times New Roman"/>
          <w:szCs w:val="24"/>
        </w:rPr>
      </w:pPr>
      <w:r>
        <w:rPr>
          <w:rFonts w:ascii="Times New Roman" w:hAnsi="Times New Roman"/>
          <w:szCs w:val="24"/>
        </w:rPr>
        <w:lastRenderedPageBreak/>
        <w:t>Продовження додатку 1</w:t>
      </w:r>
    </w:p>
    <w:p w14:paraId="5B5011F5" w14:textId="77777777" w:rsidR="00642247" w:rsidRPr="008E3010" w:rsidRDefault="008A2D07">
      <w:pPr>
        <w:jc w:val="right"/>
        <w:rPr>
          <w:lang w:val="uk-UA"/>
        </w:rPr>
      </w:pPr>
      <w:r>
        <w:rPr>
          <w:lang w:val="uk-UA"/>
        </w:rPr>
        <w:t xml:space="preserve">до реєстраційного посвідчення </w:t>
      </w:r>
      <w:r w:rsidRPr="008E3010">
        <w:rPr>
          <w:lang w:val="uk-UA"/>
        </w:rPr>
        <w:t>AA-06429-01-16</w:t>
      </w:r>
    </w:p>
    <w:p w14:paraId="58A1EEFB" w14:textId="77777777" w:rsidR="00642247" w:rsidRPr="008E3010" w:rsidRDefault="00642247">
      <w:pPr>
        <w:ind w:right="253" w:firstLine="567"/>
        <w:jc w:val="both"/>
        <w:rPr>
          <w:lang w:val="uk-UA"/>
        </w:rPr>
      </w:pPr>
    </w:p>
    <w:p w14:paraId="5759EBD3" w14:textId="77777777" w:rsidR="00642247" w:rsidRDefault="008A2D07">
      <w:pPr>
        <w:ind w:right="253" w:firstLine="567"/>
        <w:jc w:val="both"/>
        <w:rPr>
          <w:lang w:val="uk-UA"/>
        </w:rPr>
      </w:pPr>
      <w:r>
        <w:rPr>
          <w:lang w:val="uk-UA"/>
        </w:rPr>
        <w:t xml:space="preserve">Не застосовувати кролям, мурчакам, хом’якам та карликовим піщанкам, а також тваринам із порушеною функцією нирок. </w:t>
      </w:r>
    </w:p>
    <w:p w14:paraId="2FB8D2EC" w14:textId="77777777" w:rsidR="00642247" w:rsidRDefault="008A2D07">
      <w:pPr>
        <w:ind w:right="253" w:firstLine="567"/>
        <w:jc w:val="both"/>
        <w:rPr>
          <w:lang w:val="uk-UA"/>
        </w:rPr>
      </w:pPr>
      <w:r>
        <w:rPr>
          <w:lang w:val="uk-UA"/>
        </w:rPr>
        <w:t>Не застосовувати одночасно із тетрациклінами, макролідами, хлорамфеніколом та теофіліном.</w:t>
      </w:r>
    </w:p>
    <w:p w14:paraId="60807655" w14:textId="77777777" w:rsidR="00642247" w:rsidRDefault="008A2D07">
      <w:pPr>
        <w:ind w:right="253" w:firstLine="567"/>
        <w:jc w:val="both"/>
        <w:rPr>
          <w:lang w:val="uk-UA"/>
        </w:rPr>
      </w:pPr>
      <w:r>
        <w:rPr>
          <w:lang w:val="uk-UA"/>
        </w:rPr>
        <w:t>Не застосовувати коням</w:t>
      </w:r>
      <w:r w:rsidRPr="008E3010">
        <w:rPr>
          <w:lang w:val="uk-UA"/>
        </w:rPr>
        <w:t xml:space="preserve"> </w:t>
      </w:r>
      <w:r>
        <w:rPr>
          <w:lang w:val="uk-UA"/>
        </w:rPr>
        <w:t>та</w:t>
      </w:r>
      <w:r w:rsidRPr="008E3010">
        <w:rPr>
          <w:lang w:val="uk-UA"/>
        </w:rPr>
        <w:t xml:space="preserve"> жуйним тваринам із функціонально розвиненими передшлунками</w:t>
      </w:r>
      <w:r>
        <w:rPr>
          <w:lang w:val="uk-UA"/>
        </w:rPr>
        <w:t>.</w:t>
      </w:r>
    </w:p>
    <w:p w14:paraId="3B488979" w14:textId="77777777" w:rsidR="00642247" w:rsidRDefault="008A2D07">
      <w:pPr>
        <w:ind w:right="253" w:firstLine="567"/>
        <w:jc w:val="both"/>
        <w:rPr>
          <w:b/>
          <w:lang w:val="uk-UA"/>
        </w:rPr>
      </w:pPr>
      <w:r>
        <w:rPr>
          <w:b/>
          <w:lang w:val="uk-UA"/>
        </w:rPr>
        <w:t>5.4 Побічна дія</w:t>
      </w:r>
    </w:p>
    <w:p w14:paraId="68CEC4B1" w14:textId="77777777" w:rsidR="00642247" w:rsidRDefault="008A2D07">
      <w:pPr>
        <w:autoSpaceDE w:val="0"/>
        <w:autoSpaceDN w:val="0"/>
        <w:adjustRightInd w:val="0"/>
        <w:ind w:right="253" w:firstLine="567"/>
        <w:jc w:val="both"/>
        <w:rPr>
          <w:lang w:val="uk-UA" w:eastAsia="en-US"/>
        </w:rPr>
      </w:pPr>
      <w:r>
        <w:rPr>
          <w:lang w:val="uk-UA" w:eastAsia="en-US"/>
        </w:rPr>
        <w:t>Можливе виникнення реакцій гіперчутливості, важкість яких може коливатися від простої кропивниці до анафілактичного шоку.</w:t>
      </w:r>
    </w:p>
    <w:p w14:paraId="5F5C9D0E" w14:textId="77777777" w:rsidR="00642247" w:rsidRDefault="008A2D07">
      <w:pPr>
        <w:autoSpaceDE w:val="0"/>
        <w:autoSpaceDN w:val="0"/>
        <w:adjustRightInd w:val="0"/>
        <w:ind w:right="253" w:firstLine="567"/>
        <w:jc w:val="both"/>
        <w:rPr>
          <w:lang w:val="uk-UA" w:eastAsia="en-US"/>
        </w:rPr>
      </w:pPr>
      <w:r>
        <w:rPr>
          <w:lang w:val="uk-UA" w:eastAsia="en-US"/>
        </w:rPr>
        <w:t>Можливе виникнення побічних ефектів з боку травного каналу, головним чином, у травоїдних тварин.</w:t>
      </w:r>
    </w:p>
    <w:p w14:paraId="7F020B5B" w14:textId="77777777" w:rsidR="00642247" w:rsidRDefault="008A2D07">
      <w:pPr>
        <w:ind w:right="253" w:firstLine="567"/>
        <w:jc w:val="both"/>
        <w:rPr>
          <w:b/>
          <w:lang w:val="uk-UA"/>
        </w:rPr>
      </w:pPr>
      <w:r>
        <w:rPr>
          <w:b/>
          <w:lang w:val="uk-UA"/>
        </w:rPr>
        <w:t>5.5 Особливі застереження при використанні</w:t>
      </w:r>
    </w:p>
    <w:p w14:paraId="0C7AAA22" w14:textId="77777777" w:rsidR="00642247" w:rsidRDefault="008A2D07">
      <w:pPr>
        <w:ind w:right="253" w:firstLine="567"/>
        <w:jc w:val="both"/>
        <w:rPr>
          <w:lang w:val="uk-UA"/>
        </w:rPr>
      </w:pPr>
      <w:r>
        <w:rPr>
          <w:lang w:val="uk-UA"/>
        </w:rPr>
        <w:t>Хворі тварини можуть споживати менше води та/або корму, а отже, можуть потребувати парентерального введення амоксициліну.</w:t>
      </w:r>
    </w:p>
    <w:p w14:paraId="58DD886E" w14:textId="77777777" w:rsidR="00642247" w:rsidRDefault="008A2D07">
      <w:pPr>
        <w:ind w:right="253" w:firstLine="567"/>
        <w:jc w:val="both"/>
        <w:rPr>
          <w:lang w:val="uk-UA"/>
        </w:rPr>
      </w:pPr>
      <w:r>
        <w:rPr>
          <w:lang w:val="uk-UA"/>
        </w:rPr>
        <w:t>Кількість води, що містить препарат, залежить від клінічного стану тварин. Щоб отримати правильне дозування, концентрацію амоксициліну у питній воді слід скоригувати відповідним чином.</w:t>
      </w:r>
    </w:p>
    <w:p w14:paraId="45C7D900" w14:textId="77777777" w:rsidR="00642247" w:rsidRDefault="008A2D07">
      <w:pPr>
        <w:ind w:right="253" w:firstLine="567"/>
        <w:jc w:val="both"/>
        <w:rPr>
          <w:lang w:val="uk-UA"/>
        </w:rPr>
      </w:pPr>
      <w:r>
        <w:rPr>
          <w:lang w:val="uk-UA"/>
        </w:rPr>
        <w:t>Перед застосуванням препарату необхідно провести тест на чутливість збудників до нього. Якщо це не є можливим, емпірична терапія повинна ґрунтуватися на місцевій (регіональній, на рівні ферми) епідеміологічній інформації про чутливість цільових бактерій.</w:t>
      </w:r>
    </w:p>
    <w:p w14:paraId="1EDCA434" w14:textId="77777777" w:rsidR="00642247" w:rsidRDefault="008A2D07">
      <w:pPr>
        <w:ind w:right="253" w:firstLine="567"/>
        <w:jc w:val="both"/>
        <w:rPr>
          <w:lang w:val="uk-UA"/>
        </w:rPr>
      </w:pPr>
      <w:r>
        <w:rPr>
          <w:lang w:val="uk-UA"/>
        </w:rPr>
        <w:t>Нераціональне використання амоксициліну може призвести до виникнення резистентних штамів мікроорганізмів.</w:t>
      </w:r>
    </w:p>
    <w:p w14:paraId="11941225" w14:textId="77777777" w:rsidR="00642247" w:rsidRDefault="008A2D07">
      <w:pPr>
        <w:ind w:right="253" w:firstLine="567"/>
        <w:jc w:val="both"/>
        <w:rPr>
          <w:b/>
          <w:lang w:val="uk-UA"/>
        </w:rPr>
      </w:pPr>
      <w:r>
        <w:rPr>
          <w:b/>
          <w:lang w:val="uk-UA"/>
        </w:rPr>
        <w:t>5.6 Використання під час вагітності, лактації, несучості</w:t>
      </w:r>
    </w:p>
    <w:p w14:paraId="7888D235" w14:textId="77777777" w:rsidR="00642247" w:rsidRDefault="008A2D07">
      <w:pPr>
        <w:ind w:firstLine="567"/>
        <w:jc w:val="both"/>
        <w:rPr>
          <w:lang w:val="uk-UA"/>
        </w:rPr>
      </w:pPr>
      <w:r>
        <w:rPr>
          <w:lang w:val="uk-UA"/>
        </w:rPr>
        <w:t>Під час дослідження на лабораторних тваринах не було виявлено тератогенного, ембріотоксичного чи матернотоксичного впливу амоксициліну на організм матері чи плода.</w:t>
      </w:r>
    </w:p>
    <w:p w14:paraId="33F52102" w14:textId="77777777" w:rsidR="00642247" w:rsidRDefault="008A2D07">
      <w:pPr>
        <w:ind w:firstLine="567"/>
        <w:jc w:val="both"/>
        <w:rPr>
          <w:lang w:val="uk-UA"/>
        </w:rPr>
      </w:pPr>
      <w:r>
        <w:rPr>
          <w:lang w:val="uk-UA"/>
        </w:rPr>
        <w:t xml:space="preserve">Однак нешкідливість застосування амоксициліну для цільових видів тварин під час вагітності не досліджували. Застосування препарату вагітним тваринам повинно залежати від оцінки співвідношення ризик/користь лікарем ветеринарної медицини. </w:t>
      </w:r>
    </w:p>
    <w:p w14:paraId="5E0016FA" w14:textId="77777777" w:rsidR="00642247" w:rsidRDefault="008A2D07">
      <w:pPr>
        <w:ind w:right="253" w:firstLine="567"/>
        <w:jc w:val="both"/>
        <w:rPr>
          <w:lang w:val="uk-UA"/>
        </w:rPr>
      </w:pPr>
      <w:r>
        <w:t>Не застосовувати курям–несучкам, яйця яких використовують для споживання людям</w:t>
      </w:r>
      <w:r>
        <w:rPr>
          <w:lang w:val="uk-UA"/>
        </w:rPr>
        <w:t>.</w:t>
      </w:r>
    </w:p>
    <w:p w14:paraId="447E5913" w14:textId="77777777" w:rsidR="00642247" w:rsidRDefault="008A2D07">
      <w:pPr>
        <w:ind w:right="253" w:firstLine="567"/>
        <w:jc w:val="both"/>
        <w:rPr>
          <w:b/>
          <w:lang w:val="uk-UA"/>
        </w:rPr>
      </w:pPr>
      <w:r>
        <w:rPr>
          <w:b/>
          <w:lang w:val="uk-UA"/>
        </w:rPr>
        <w:t>5.7 Взаємодія з іншими засобами або інші форми взаємодії</w:t>
      </w:r>
    </w:p>
    <w:p w14:paraId="3E2C0917" w14:textId="77777777" w:rsidR="00642247" w:rsidRDefault="008A2D07">
      <w:pPr>
        <w:ind w:right="253" w:firstLine="567"/>
        <w:jc w:val="both"/>
        <w:rPr>
          <w:lang w:val="uk-UA"/>
        </w:rPr>
      </w:pPr>
      <w:r>
        <w:rPr>
          <w:lang w:val="uk-UA"/>
        </w:rPr>
        <w:t>Не застосовувати одночасно із тетрациклінами, макролідами, хлорамфеніколом та теофіліном.</w:t>
      </w:r>
    </w:p>
    <w:p w14:paraId="3A65935E" w14:textId="77777777" w:rsidR="00642247" w:rsidRDefault="008A2D07">
      <w:pPr>
        <w:ind w:right="253" w:firstLine="567"/>
        <w:jc w:val="both"/>
        <w:rPr>
          <w:b/>
          <w:lang w:val="uk-UA"/>
        </w:rPr>
      </w:pPr>
      <w:r>
        <w:rPr>
          <w:b/>
          <w:lang w:val="uk-UA"/>
        </w:rPr>
        <w:t>5.8 Дози і способи введення тваринам різного віку</w:t>
      </w:r>
    </w:p>
    <w:p w14:paraId="65D35915" w14:textId="77777777" w:rsidR="00642247" w:rsidRDefault="008A2D07">
      <w:pPr>
        <w:autoSpaceDE w:val="0"/>
        <w:autoSpaceDN w:val="0"/>
        <w:adjustRightInd w:val="0"/>
        <w:ind w:right="253" w:firstLine="567"/>
        <w:jc w:val="both"/>
        <w:rPr>
          <w:lang w:val="uk-UA" w:bidi="uk-UA"/>
        </w:rPr>
      </w:pPr>
      <w:r>
        <w:rPr>
          <w:lang w:val="uk-UA" w:bidi="uk-UA"/>
        </w:rPr>
        <w:t>Перорально з питною водою у дозах:</w:t>
      </w:r>
    </w:p>
    <w:p w14:paraId="780D75F5" w14:textId="77777777" w:rsidR="00642247" w:rsidRDefault="008A2D07">
      <w:pPr>
        <w:autoSpaceDE w:val="0"/>
        <w:autoSpaceDN w:val="0"/>
        <w:adjustRightInd w:val="0"/>
        <w:ind w:right="253" w:firstLine="567"/>
        <w:jc w:val="both"/>
        <w:rPr>
          <w:lang w:val="uk-UA"/>
        </w:rPr>
      </w:pPr>
      <w:bookmarkStart w:id="0" w:name="bookmark21"/>
      <w:r>
        <w:rPr>
          <w:lang w:val="uk-UA" w:bidi="uk-UA"/>
        </w:rPr>
        <w:t xml:space="preserve">свійська птиця (курчата, кури-бройлери, ремонтний молодняк) - </w:t>
      </w:r>
      <w:bookmarkEnd w:id="0"/>
      <w:r>
        <w:rPr>
          <w:lang w:val="uk-UA" w:bidi="uk-UA"/>
        </w:rPr>
        <w:t>20 мг препарату на 1 кг маси тіла щодобово (що відповідає 16 мг амоксициліну тригідрату на 1 кг маси тіла) протягом 3-5 діб;</w:t>
      </w:r>
      <w:r>
        <w:rPr>
          <w:lang w:val="uk-UA"/>
        </w:rPr>
        <w:t xml:space="preserve"> </w:t>
      </w:r>
    </w:p>
    <w:p w14:paraId="37733775" w14:textId="77777777" w:rsidR="00642247" w:rsidRDefault="008A2D07">
      <w:pPr>
        <w:autoSpaceDE w:val="0"/>
        <w:autoSpaceDN w:val="0"/>
        <w:adjustRightInd w:val="0"/>
        <w:ind w:right="253" w:firstLine="567"/>
        <w:jc w:val="both"/>
        <w:rPr>
          <w:lang w:val="uk-UA" w:bidi="uk-UA"/>
        </w:rPr>
      </w:pPr>
      <w:r>
        <w:rPr>
          <w:lang w:val="uk-UA" w:bidi="uk-UA"/>
        </w:rPr>
        <w:t>свині - 20 мг препарату 1 кг маси тіла щодобово (що відповідає 16 мг амоксициліну тригідрату на 1 кг маси тіла) протягом 3-5 діб.</w:t>
      </w:r>
    </w:p>
    <w:p w14:paraId="5A235C4B" w14:textId="77777777" w:rsidR="00642247" w:rsidRDefault="008A2D07">
      <w:pPr>
        <w:autoSpaceDE w:val="0"/>
        <w:autoSpaceDN w:val="0"/>
        <w:adjustRightInd w:val="0"/>
        <w:ind w:right="252" w:firstLine="567"/>
        <w:jc w:val="both"/>
        <w:rPr>
          <w:lang w:val="uk-UA" w:bidi="uk-UA"/>
        </w:rPr>
      </w:pPr>
      <w:r>
        <w:rPr>
          <w:lang w:val="uk-UA" w:bidi="uk-UA"/>
        </w:rPr>
        <w:t>Перед застосуванням препарату необхідно врахувати масу тіла тварин та фактичне добове споживання питної води. Споживання води може змінюватися залежно від таких факторів, як вид, вік, стан здоров'я, порода і умови утримання тварин (наприклад, різні температури, різні режими освітлення). Для правильного дозування необхідно відповідним чином скоригувати дозу препарату.</w:t>
      </w:r>
    </w:p>
    <w:p w14:paraId="19988C74" w14:textId="77777777" w:rsidR="00642247" w:rsidRDefault="008A2D07">
      <w:pPr>
        <w:autoSpaceDE w:val="0"/>
        <w:autoSpaceDN w:val="0"/>
        <w:adjustRightInd w:val="0"/>
        <w:ind w:right="252" w:firstLine="567"/>
        <w:jc w:val="both"/>
        <w:rPr>
          <w:lang w:val="uk-UA" w:bidi="uk-UA"/>
        </w:rPr>
      </w:pPr>
      <w:r>
        <w:rPr>
          <w:lang w:val="uk-UA" w:bidi="uk-UA"/>
        </w:rPr>
        <w:t>Необхідну кількості препарату вираховують за формулою:</w:t>
      </w:r>
    </w:p>
    <w:p w14:paraId="0C510480" w14:textId="77777777" w:rsidR="00642247" w:rsidRDefault="00642247">
      <w:pPr>
        <w:autoSpaceDE w:val="0"/>
        <w:autoSpaceDN w:val="0"/>
        <w:adjustRightInd w:val="0"/>
        <w:ind w:right="252" w:firstLine="567"/>
        <w:rPr>
          <w:lang w:val="uk-UA" w:bidi="uk-UA"/>
        </w:rPr>
      </w:pPr>
    </w:p>
    <w:tbl>
      <w:tblPr>
        <w:tblW w:w="0" w:type="auto"/>
        <w:tblBorders>
          <w:insideH w:val="single" w:sz="4" w:space="0" w:color="auto"/>
        </w:tblBorders>
        <w:tblLook w:val="01E0" w:firstRow="1" w:lastRow="1" w:firstColumn="1" w:lastColumn="1" w:noHBand="0" w:noVBand="0"/>
      </w:tblPr>
      <w:tblGrid>
        <w:gridCol w:w="3085"/>
        <w:gridCol w:w="749"/>
        <w:gridCol w:w="2835"/>
        <w:gridCol w:w="2723"/>
      </w:tblGrid>
      <w:tr w:rsidR="00642247" w14:paraId="3B8E2799" w14:textId="77777777">
        <w:tc>
          <w:tcPr>
            <w:tcW w:w="3085" w:type="dxa"/>
            <w:shd w:val="clear" w:color="auto" w:fill="auto"/>
          </w:tcPr>
          <w:p w14:paraId="1B266B7C" w14:textId="77777777" w:rsidR="00642247" w:rsidRDefault="008A2D07">
            <w:pPr>
              <w:autoSpaceDE w:val="0"/>
              <w:autoSpaceDN w:val="0"/>
              <w:adjustRightInd w:val="0"/>
              <w:ind w:right="252"/>
              <w:rPr>
                <w:lang w:val="uk-UA" w:bidi="uk-UA"/>
              </w:rPr>
            </w:pPr>
            <w:r>
              <w:rPr>
                <w:lang w:val="uk-UA" w:bidi="uk-UA"/>
              </w:rPr>
              <w:t xml:space="preserve">мг препарату на 1 кг маси тіла на добу          </w:t>
            </w:r>
          </w:p>
        </w:tc>
        <w:tc>
          <w:tcPr>
            <w:tcW w:w="567" w:type="dxa"/>
            <w:shd w:val="clear" w:color="auto" w:fill="auto"/>
          </w:tcPr>
          <w:p w14:paraId="2BF62461" w14:textId="77777777" w:rsidR="00642247" w:rsidRDefault="008A2D07">
            <w:pPr>
              <w:autoSpaceDE w:val="0"/>
              <w:autoSpaceDN w:val="0"/>
              <w:adjustRightInd w:val="0"/>
              <w:ind w:left="-427" w:right="252" w:firstLine="567"/>
              <w:rPr>
                <w:sz w:val="28"/>
                <w:szCs w:val="28"/>
                <w:lang w:val="uk-UA" w:bidi="uk-UA"/>
              </w:rPr>
            </w:pPr>
            <w:r>
              <w:rPr>
                <w:sz w:val="28"/>
                <w:szCs w:val="28"/>
                <w:lang w:val="uk-UA" w:bidi="uk-UA"/>
              </w:rPr>
              <w:t>х</w:t>
            </w:r>
          </w:p>
        </w:tc>
        <w:tc>
          <w:tcPr>
            <w:tcW w:w="2835" w:type="dxa"/>
            <w:shd w:val="clear" w:color="auto" w:fill="auto"/>
          </w:tcPr>
          <w:p w14:paraId="1CDE56C9" w14:textId="77777777" w:rsidR="00642247" w:rsidRDefault="008A2D07">
            <w:pPr>
              <w:autoSpaceDE w:val="0"/>
              <w:autoSpaceDN w:val="0"/>
              <w:adjustRightInd w:val="0"/>
              <w:ind w:right="252"/>
              <w:rPr>
                <w:lang w:val="uk-UA" w:bidi="uk-UA"/>
              </w:rPr>
            </w:pPr>
            <w:r>
              <w:rPr>
                <w:lang w:val="uk-UA" w:bidi="uk-UA"/>
              </w:rPr>
              <w:t>середня маса тіла (кг) тварин, що підлягають лікуванню</w:t>
            </w:r>
          </w:p>
        </w:tc>
        <w:tc>
          <w:tcPr>
            <w:tcW w:w="2723" w:type="dxa"/>
            <w:vMerge w:val="restart"/>
            <w:shd w:val="clear" w:color="auto" w:fill="auto"/>
          </w:tcPr>
          <w:p w14:paraId="18B423AE" w14:textId="77777777" w:rsidR="00642247" w:rsidRDefault="00642247">
            <w:pPr>
              <w:autoSpaceDE w:val="0"/>
              <w:autoSpaceDN w:val="0"/>
              <w:adjustRightInd w:val="0"/>
              <w:ind w:right="252" w:firstLine="567"/>
              <w:rPr>
                <w:lang w:val="uk-UA" w:bidi="uk-UA"/>
              </w:rPr>
            </w:pPr>
          </w:p>
          <w:p w14:paraId="51C988B3" w14:textId="77777777" w:rsidR="00642247" w:rsidRDefault="008A2D07">
            <w:pPr>
              <w:autoSpaceDE w:val="0"/>
              <w:autoSpaceDN w:val="0"/>
              <w:adjustRightInd w:val="0"/>
              <w:ind w:right="252" w:firstLine="567"/>
              <w:rPr>
                <w:lang w:val="uk-UA" w:bidi="uk-UA"/>
              </w:rPr>
            </w:pPr>
            <w:r>
              <w:rPr>
                <w:lang w:val="uk-UA" w:bidi="uk-UA"/>
              </w:rPr>
              <w:t xml:space="preserve">= мг препарату на </w:t>
            </w:r>
            <w:r>
              <w:rPr>
                <w:lang w:bidi="uk-UA"/>
              </w:rPr>
              <w:t xml:space="preserve">1 </w:t>
            </w:r>
            <w:r>
              <w:rPr>
                <w:lang w:val="uk-UA" w:bidi="uk-UA"/>
              </w:rPr>
              <w:t>літр питної води</w:t>
            </w:r>
          </w:p>
        </w:tc>
      </w:tr>
      <w:tr w:rsidR="00642247" w14:paraId="53C166A0" w14:textId="77777777">
        <w:tc>
          <w:tcPr>
            <w:tcW w:w="6487" w:type="dxa"/>
            <w:gridSpan w:val="3"/>
            <w:shd w:val="clear" w:color="auto" w:fill="auto"/>
          </w:tcPr>
          <w:p w14:paraId="5791F9FD" w14:textId="77777777" w:rsidR="00642247" w:rsidRDefault="008A2D07">
            <w:pPr>
              <w:autoSpaceDE w:val="0"/>
              <w:autoSpaceDN w:val="0"/>
              <w:adjustRightInd w:val="0"/>
              <w:ind w:right="252" w:firstLine="567"/>
              <w:rPr>
                <w:lang w:val="uk-UA" w:bidi="uk-UA"/>
              </w:rPr>
            </w:pPr>
            <w:r>
              <w:rPr>
                <w:lang w:val="uk-UA" w:bidi="uk-UA"/>
              </w:rPr>
              <w:t xml:space="preserve">середнє щодобове споживання води (л) на одну тварину </w:t>
            </w:r>
          </w:p>
        </w:tc>
        <w:tc>
          <w:tcPr>
            <w:tcW w:w="2723" w:type="dxa"/>
            <w:vMerge/>
            <w:shd w:val="clear" w:color="auto" w:fill="auto"/>
          </w:tcPr>
          <w:p w14:paraId="16303DD9" w14:textId="77777777" w:rsidR="00642247" w:rsidRDefault="00642247">
            <w:pPr>
              <w:autoSpaceDE w:val="0"/>
              <w:autoSpaceDN w:val="0"/>
              <w:adjustRightInd w:val="0"/>
              <w:ind w:right="252" w:firstLine="567"/>
              <w:rPr>
                <w:lang w:val="uk-UA" w:bidi="uk-UA"/>
              </w:rPr>
            </w:pPr>
          </w:p>
        </w:tc>
      </w:tr>
    </w:tbl>
    <w:p w14:paraId="3D8AFC30" w14:textId="77777777" w:rsidR="00642247" w:rsidRDefault="00642247">
      <w:pPr>
        <w:autoSpaceDE w:val="0"/>
        <w:autoSpaceDN w:val="0"/>
        <w:adjustRightInd w:val="0"/>
        <w:ind w:right="252" w:firstLine="567"/>
        <w:rPr>
          <w:lang w:val="uk-UA" w:bidi="uk-UA"/>
        </w:rPr>
      </w:pPr>
    </w:p>
    <w:p w14:paraId="17F9A524" w14:textId="1051517C" w:rsidR="001776E4" w:rsidRDefault="008A2D07">
      <w:pPr>
        <w:autoSpaceDE w:val="0"/>
        <w:autoSpaceDN w:val="0"/>
        <w:adjustRightInd w:val="0"/>
        <w:ind w:right="253" w:firstLine="567"/>
        <w:jc w:val="both"/>
        <w:rPr>
          <w:lang w:val="uk-UA" w:bidi="uk-UA"/>
        </w:rPr>
      </w:pPr>
      <w:r>
        <w:rPr>
          <w:lang w:val="uk-UA" w:bidi="uk-UA"/>
        </w:rPr>
        <w:t>Рекомендується використовувати відкалібровані ваги для вимірювання розрахованої кількості препарату.</w:t>
      </w:r>
    </w:p>
    <w:p w14:paraId="1AAFAA23" w14:textId="77777777" w:rsidR="001776E4" w:rsidRDefault="001776E4">
      <w:pPr>
        <w:rPr>
          <w:lang w:val="uk-UA" w:bidi="uk-UA"/>
        </w:rPr>
      </w:pPr>
      <w:r>
        <w:rPr>
          <w:lang w:val="uk-UA" w:bidi="uk-UA"/>
        </w:rPr>
        <w:br w:type="page"/>
      </w:r>
    </w:p>
    <w:p w14:paraId="40E79BD0" w14:textId="77777777" w:rsidR="00642247" w:rsidRDefault="00642247">
      <w:pPr>
        <w:autoSpaceDE w:val="0"/>
        <w:autoSpaceDN w:val="0"/>
        <w:adjustRightInd w:val="0"/>
        <w:ind w:right="253" w:firstLine="567"/>
        <w:jc w:val="both"/>
        <w:rPr>
          <w:lang w:val="uk-UA" w:bidi="uk-UA"/>
        </w:rPr>
      </w:pPr>
    </w:p>
    <w:p w14:paraId="5F41188A" w14:textId="77777777" w:rsidR="00642247" w:rsidRDefault="008A2D07">
      <w:pPr>
        <w:pStyle w:val="ac"/>
        <w:jc w:val="right"/>
        <w:rPr>
          <w:rFonts w:ascii="Times New Roman" w:hAnsi="Times New Roman"/>
          <w:szCs w:val="24"/>
        </w:rPr>
      </w:pPr>
      <w:r>
        <w:rPr>
          <w:rFonts w:ascii="Times New Roman" w:hAnsi="Times New Roman"/>
          <w:szCs w:val="24"/>
        </w:rPr>
        <w:t>Продовження додатку 1</w:t>
      </w:r>
    </w:p>
    <w:p w14:paraId="5F574464" w14:textId="77777777" w:rsidR="00642247" w:rsidRDefault="008A2D07">
      <w:pPr>
        <w:jc w:val="right"/>
      </w:pPr>
      <w:r>
        <w:rPr>
          <w:lang w:val="uk-UA"/>
        </w:rPr>
        <w:lastRenderedPageBreak/>
        <w:t xml:space="preserve">до реєстраційного посвідчення </w:t>
      </w:r>
      <w:r>
        <w:t>AA-06429-01-16</w:t>
      </w:r>
    </w:p>
    <w:p w14:paraId="1D9203EE" w14:textId="77777777" w:rsidR="00642247" w:rsidRPr="008E3010" w:rsidRDefault="00642247">
      <w:pPr>
        <w:autoSpaceDE w:val="0"/>
        <w:autoSpaceDN w:val="0"/>
        <w:adjustRightInd w:val="0"/>
        <w:ind w:right="253" w:firstLine="567"/>
        <w:jc w:val="both"/>
        <w:rPr>
          <w:lang w:bidi="uk-UA"/>
        </w:rPr>
      </w:pPr>
      <w:bookmarkStart w:id="1" w:name="_GoBack"/>
      <w:bookmarkEnd w:id="1"/>
    </w:p>
    <w:p w14:paraId="05AD7F6E" w14:textId="77777777" w:rsidR="00642247" w:rsidRDefault="008A2D07">
      <w:pPr>
        <w:autoSpaceDE w:val="0"/>
        <w:autoSpaceDN w:val="0"/>
        <w:adjustRightInd w:val="0"/>
        <w:ind w:right="253" w:firstLine="567"/>
        <w:jc w:val="both"/>
        <w:rPr>
          <w:lang w:val="uk-UA"/>
        </w:rPr>
      </w:pPr>
      <w:r>
        <w:rPr>
          <w:lang w:val="uk-UA" w:bidi="uk-UA"/>
        </w:rPr>
        <w:t>Розчин з препаратом необхідно використати протягом 12 годин після приготування.</w:t>
      </w:r>
    </w:p>
    <w:p w14:paraId="6BFE5AC0" w14:textId="77777777" w:rsidR="00642247" w:rsidRDefault="008A2D07">
      <w:pPr>
        <w:ind w:right="253" w:firstLine="567"/>
        <w:jc w:val="both"/>
        <w:rPr>
          <w:b/>
          <w:lang w:val="uk-UA"/>
        </w:rPr>
      </w:pPr>
      <w:r>
        <w:rPr>
          <w:b/>
          <w:lang w:val="uk-UA"/>
        </w:rPr>
        <w:t>5.9 Передозування (симптоми, невідкладні заходи, антидоти)</w:t>
      </w:r>
    </w:p>
    <w:p w14:paraId="17EC7602" w14:textId="77777777" w:rsidR="00642247" w:rsidRDefault="008A2D07">
      <w:pPr>
        <w:ind w:right="253" w:firstLine="567"/>
        <w:jc w:val="both"/>
        <w:rPr>
          <w:lang w:val="uk-UA" w:eastAsia="en-US"/>
        </w:rPr>
      </w:pPr>
      <w:r>
        <w:rPr>
          <w:lang w:val="uk-UA" w:eastAsia="en-US"/>
        </w:rPr>
        <w:t>Після перорального застосування амоксицилін добре переноситься цільовими видами тварин. Амоксицилін має дуже низьку токсичність, як гостру так і хронічну.</w:t>
      </w:r>
    </w:p>
    <w:p w14:paraId="6577E0BF" w14:textId="77777777" w:rsidR="00642247" w:rsidRDefault="008A2D07">
      <w:pPr>
        <w:ind w:right="253" w:firstLine="567"/>
        <w:jc w:val="both"/>
        <w:rPr>
          <w:b/>
          <w:lang w:val="uk-UA"/>
        </w:rPr>
      </w:pPr>
      <w:r>
        <w:rPr>
          <w:b/>
          <w:lang w:val="uk-UA"/>
        </w:rPr>
        <w:t>5.10 Спеціальні застереження</w:t>
      </w:r>
    </w:p>
    <w:p w14:paraId="42F5FE2A" w14:textId="77777777" w:rsidR="00642247" w:rsidRDefault="008A2D07">
      <w:pPr>
        <w:ind w:right="253" w:firstLine="567"/>
        <w:jc w:val="both"/>
        <w:rPr>
          <w:b/>
          <w:highlight w:val="yellow"/>
          <w:lang w:val="uk-UA"/>
        </w:rPr>
      </w:pPr>
      <w:r>
        <w:rPr>
          <w:lang w:val="uk-UA"/>
        </w:rPr>
        <w:t>Невідомо.</w:t>
      </w:r>
    </w:p>
    <w:p w14:paraId="722477FB" w14:textId="77777777" w:rsidR="00642247" w:rsidRDefault="008A2D07">
      <w:pPr>
        <w:ind w:right="253" w:firstLine="567"/>
        <w:jc w:val="both"/>
        <w:rPr>
          <w:b/>
          <w:lang w:val="uk-UA"/>
        </w:rPr>
      </w:pPr>
      <w:r>
        <w:rPr>
          <w:b/>
          <w:lang w:val="uk-UA"/>
        </w:rPr>
        <w:t>5.11 Період виведення (каренції)</w:t>
      </w:r>
    </w:p>
    <w:p w14:paraId="7C1BD982" w14:textId="77777777" w:rsidR="00642247" w:rsidRDefault="008A2D07">
      <w:pPr>
        <w:ind w:right="253" w:firstLine="567"/>
        <w:jc w:val="both"/>
        <w:rPr>
          <w:lang w:val="uk-UA"/>
        </w:rPr>
      </w:pPr>
      <w:r>
        <w:rPr>
          <w:lang w:val="uk-UA"/>
        </w:rPr>
        <w:t>Забій тварин і птиці на м’ясо дозволяють через 1</w:t>
      </w:r>
      <w:r>
        <w:t xml:space="preserve"> </w:t>
      </w:r>
      <w:r>
        <w:rPr>
          <w:lang w:val="uk-UA"/>
        </w:rPr>
        <w:t xml:space="preserve">добу (свійська птиця) та 2 доби (свині) після останнього введення препарату. </w:t>
      </w:r>
      <w:r>
        <w:t>Отримане, до зазначеного терміну, м'ясо утилізують або згодовують непродуктивним тваринам, залежно від висновку лікаря ветеринарної медицини.</w:t>
      </w:r>
      <w:r>
        <w:rPr>
          <w:lang w:val="uk-UA"/>
        </w:rPr>
        <w:t xml:space="preserve"> </w:t>
      </w:r>
    </w:p>
    <w:p w14:paraId="53743DD9" w14:textId="77777777" w:rsidR="00642247" w:rsidRDefault="008A2D07">
      <w:pPr>
        <w:ind w:right="253" w:firstLine="567"/>
        <w:jc w:val="both"/>
        <w:rPr>
          <w:lang w:val="uk-UA"/>
        </w:rPr>
      </w:pPr>
      <w:r>
        <w:rPr>
          <w:lang w:val="uk-UA"/>
        </w:rPr>
        <w:t>Не застосовувати птиці протягом 3 тижнів до початку яйцекладки.</w:t>
      </w:r>
    </w:p>
    <w:p w14:paraId="2D757DC8" w14:textId="77777777" w:rsidR="00642247" w:rsidRDefault="008A2D07">
      <w:pPr>
        <w:ind w:right="253" w:firstLine="567"/>
        <w:jc w:val="both"/>
        <w:rPr>
          <w:b/>
          <w:lang w:val="uk-UA"/>
        </w:rPr>
      </w:pPr>
      <w:r>
        <w:rPr>
          <w:b/>
        </w:rPr>
        <w:t>5.12 Спеціальні застереження для осіб і обслуговуючого персоналу</w:t>
      </w:r>
    </w:p>
    <w:p w14:paraId="0F67343B" w14:textId="77777777" w:rsidR="00642247" w:rsidRDefault="008A2D07">
      <w:pPr>
        <w:autoSpaceDE w:val="0"/>
        <w:autoSpaceDN w:val="0"/>
        <w:adjustRightInd w:val="0"/>
        <w:ind w:right="253" w:firstLine="567"/>
        <w:jc w:val="both"/>
        <w:rPr>
          <w:lang w:val="uk-UA" w:eastAsia="en-US"/>
        </w:rPr>
      </w:pPr>
      <w:r>
        <w:rPr>
          <w:lang w:val="uk-UA" w:eastAsia="en-US"/>
        </w:rPr>
        <w:t>Через ризик сенсибілізації організму, контактних дерматитів та реакцій гіперчутливості слід уникати контактів препарату зі шкірою або вдихання його частинок (особливо особам з відомою гіперчутливістю до пеніцилінів). При роботі із препаратом необхідно користуватися рукавицями та респіратором. У випадку сильних алергічних реакцій (набряку обличчя, губ, очей або  погіршення дихання) негайно зверніться до лікаря.</w:t>
      </w:r>
    </w:p>
    <w:p w14:paraId="054B755B" w14:textId="77777777" w:rsidR="00642247" w:rsidRDefault="008A2D07">
      <w:pPr>
        <w:ind w:right="253" w:firstLine="567"/>
        <w:jc w:val="both"/>
        <w:rPr>
          <w:b/>
          <w:lang w:val="uk-UA"/>
        </w:rPr>
      </w:pPr>
      <w:r>
        <w:rPr>
          <w:b/>
          <w:lang w:val="uk-UA"/>
        </w:rPr>
        <w:t>6. Фармацевтичні особливості</w:t>
      </w:r>
    </w:p>
    <w:p w14:paraId="3AE1E732" w14:textId="77777777" w:rsidR="00642247" w:rsidRDefault="008A2D07">
      <w:pPr>
        <w:ind w:right="253" w:firstLine="567"/>
        <w:jc w:val="both"/>
        <w:rPr>
          <w:b/>
          <w:lang w:val="uk-UA"/>
        </w:rPr>
      </w:pPr>
      <w:r>
        <w:rPr>
          <w:b/>
          <w:lang w:val="uk-UA"/>
        </w:rPr>
        <w:t>6.1 Форми несумісності (основні)</w:t>
      </w:r>
    </w:p>
    <w:p w14:paraId="076F396B" w14:textId="77777777" w:rsidR="00642247" w:rsidRDefault="008A2D07">
      <w:pPr>
        <w:tabs>
          <w:tab w:val="left" w:pos="284"/>
        </w:tabs>
        <w:ind w:right="253" w:firstLine="567"/>
        <w:jc w:val="both"/>
        <w:rPr>
          <w:lang w:val="uk-UA"/>
        </w:rPr>
      </w:pPr>
      <w:r>
        <w:rPr>
          <w:lang w:val="uk-UA"/>
        </w:rPr>
        <w:t>Не змішувати з іншими ветеринарними препаратами.</w:t>
      </w:r>
    </w:p>
    <w:p w14:paraId="50FA5F97" w14:textId="77777777" w:rsidR="00642247" w:rsidRDefault="008A2D07">
      <w:pPr>
        <w:ind w:right="253" w:firstLine="567"/>
        <w:jc w:val="both"/>
        <w:rPr>
          <w:b/>
          <w:lang w:val="uk-UA"/>
        </w:rPr>
      </w:pPr>
      <w:r>
        <w:rPr>
          <w:b/>
          <w:lang w:val="uk-UA"/>
        </w:rPr>
        <w:t>6.2 Термін придатності</w:t>
      </w:r>
    </w:p>
    <w:p w14:paraId="3031F3A8" w14:textId="4CD5BCD6" w:rsidR="00642247" w:rsidRDefault="008A2D07">
      <w:pPr>
        <w:ind w:right="253" w:firstLine="567"/>
        <w:jc w:val="both"/>
        <w:rPr>
          <w:lang w:val="uk-UA"/>
        </w:rPr>
      </w:pPr>
      <w:r>
        <w:rPr>
          <w:lang w:val="sl-SI"/>
        </w:rPr>
        <w:t>3</w:t>
      </w:r>
      <w:r>
        <w:rPr>
          <w:lang w:val="uk-UA"/>
        </w:rPr>
        <w:t xml:space="preserve"> роки. </w:t>
      </w:r>
      <w:r w:rsidR="00E318D5">
        <w:rPr>
          <w:lang w:val="uk-UA"/>
        </w:rPr>
        <w:t xml:space="preserve"> </w:t>
      </w:r>
    </w:p>
    <w:p w14:paraId="075D38AB" w14:textId="27647113" w:rsidR="00642247" w:rsidRDefault="00E318D5">
      <w:pPr>
        <w:ind w:right="253" w:firstLine="567"/>
        <w:jc w:val="both"/>
        <w:rPr>
          <w:lang w:val="uk-UA"/>
        </w:rPr>
      </w:pPr>
      <w:r w:rsidRPr="00E318D5">
        <w:rPr>
          <w:lang w:val="uk-UA"/>
        </w:rPr>
        <w:t>Термін придатності після відкриття упаковки</w:t>
      </w:r>
      <w:r w:rsidRPr="00E318D5">
        <w:rPr>
          <w:iCs/>
          <w:lang w:val="uk-UA"/>
        </w:rPr>
        <w:t xml:space="preserve">: пакети по 100 г – </w:t>
      </w:r>
      <w:r w:rsidRPr="00E318D5">
        <w:rPr>
          <w:lang w:val="uk-UA"/>
        </w:rPr>
        <w:t xml:space="preserve">1 місяць, пакети по 250, 500 та 1000 г – </w:t>
      </w:r>
      <w:r w:rsidRPr="00E318D5">
        <w:rPr>
          <w:iCs/>
          <w:lang w:val="uk-UA"/>
        </w:rPr>
        <w:t>2 місяці</w:t>
      </w:r>
      <w:r w:rsidR="008A2D07">
        <w:rPr>
          <w:lang w:val="uk-UA"/>
        </w:rPr>
        <w:t>.</w:t>
      </w:r>
    </w:p>
    <w:p w14:paraId="1E53BA49" w14:textId="77777777" w:rsidR="00642247" w:rsidRDefault="008A2D07">
      <w:pPr>
        <w:ind w:right="253" w:firstLine="567"/>
        <w:jc w:val="both"/>
        <w:rPr>
          <w:lang w:val="uk-UA"/>
        </w:rPr>
      </w:pPr>
      <w:r>
        <w:rPr>
          <w:lang w:val="uk-UA"/>
        </w:rPr>
        <w:t>Термін придатності після розведення розчину: 12 годин.</w:t>
      </w:r>
    </w:p>
    <w:p w14:paraId="0D1E44E9" w14:textId="77777777" w:rsidR="00642247" w:rsidRDefault="008A2D07">
      <w:pPr>
        <w:ind w:right="253" w:firstLine="567"/>
        <w:jc w:val="both"/>
        <w:rPr>
          <w:b/>
          <w:lang w:val="uk-UA"/>
        </w:rPr>
      </w:pPr>
      <w:r>
        <w:rPr>
          <w:b/>
          <w:lang w:val="uk-UA"/>
        </w:rPr>
        <w:t>6.3 Особливі заходи безпеки при зберіганні</w:t>
      </w:r>
    </w:p>
    <w:p w14:paraId="5D464F92" w14:textId="5352BF5E" w:rsidR="00642247" w:rsidRDefault="008A2D07">
      <w:pPr>
        <w:ind w:right="253" w:firstLine="567"/>
        <w:jc w:val="both"/>
        <w:rPr>
          <w:noProof/>
          <w:lang w:val="uk-UA"/>
        </w:rPr>
      </w:pPr>
      <w:r>
        <w:rPr>
          <w:lang w:val="uk-UA"/>
        </w:rPr>
        <w:t>Сухе темне, недоступне для дітей місце за температури від 0 °С до 25 °С.</w:t>
      </w:r>
    </w:p>
    <w:p w14:paraId="6D678554" w14:textId="77777777" w:rsidR="00642247" w:rsidRDefault="008A2D07">
      <w:pPr>
        <w:ind w:right="253" w:firstLine="567"/>
        <w:jc w:val="both"/>
        <w:rPr>
          <w:b/>
          <w:lang w:val="uk-UA"/>
        </w:rPr>
      </w:pPr>
      <w:r>
        <w:rPr>
          <w:b/>
          <w:lang w:val="uk-UA"/>
        </w:rPr>
        <w:t>6.4 Природа і склад контейнера первинного упакування</w:t>
      </w:r>
    </w:p>
    <w:p w14:paraId="3772D9EF" w14:textId="28844E58" w:rsidR="00642247" w:rsidRDefault="008A2D07">
      <w:pPr>
        <w:overflowPunct w:val="0"/>
        <w:autoSpaceDE w:val="0"/>
        <w:autoSpaceDN w:val="0"/>
        <w:adjustRightInd w:val="0"/>
        <w:ind w:right="253" w:firstLine="567"/>
        <w:jc w:val="both"/>
        <w:textAlignment w:val="baseline"/>
        <w:rPr>
          <w:lang w:val="uk-UA" w:eastAsia="uk-UA"/>
        </w:rPr>
      </w:pPr>
      <w:r>
        <w:rPr>
          <w:lang w:val="uk-UA" w:eastAsia="uk-UA"/>
        </w:rPr>
        <w:t>Пакети з поліетилену по 100, 250, 500 або 1000 г.</w:t>
      </w:r>
    </w:p>
    <w:p w14:paraId="4C1F6763" w14:textId="77777777" w:rsidR="00642247" w:rsidRDefault="008A2D07">
      <w:pPr>
        <w:ind w:right="253" w:firstLine="567"/>
        <w:jc w:val="both"/>
        <w:rPr>
          <w:b/>
          <w:lang w:val="uk-UA"/>
        </w:rPr>
      </w:pPr>
      <w:r>
        <w:rPr>
          <w:b/>
          <w:lang w:val="uk-UA"/>
        </w:rPr>
        <w:t>6.5 Особливі заходи безпеки при поводженні з невикористаним препаратом або із його залишками</w:t>
      </w:r>
    </w:p>
    <w:p w14:paraId="6BCE1854" w14:textId="77777777" w:rsidR="00642247" w:rsidRDefault="008A2D07">
      <w:pPr>
        <w:ind w:firstLine="567"/>
        <w:jc w:val="both"/>
        <w:rPr>
          <w:lang w:val="uk-UA"/>
        </w:rPr>
      </w:pPr>
      <w:r>
        <w:rPr>
          <w:spacing w:val="-1"/>
        </w:rPr>
        <w:t>Порожню упаковку та залишки невикористаного препарату потрібно утилізувати згідно з чинним законодавством.</w:t>
      </w:r>
    </w:p>
    <w:p w14:paraId="5C8846C6" w14:textId="77777777" w:rsidR="00642247" w:rsidRDefault="008A2D07">
      <w:pPr>
        <w:pStyle w:val="31"/>
        <w:ind w:firstLine="567"/>
        <w:outlineLvl w:val="0"/>
      </w:pPr>
      <w:r>
        <w:t>7. Назва та місцезнаходження власника реєстраційного посвідчення</w:t>
      </w:r>
    </w:p>
    <w:tbl>
      <w:tblPr>
        <w:tblW w:w="0" w:type="auto"/>
        <w:tblInd w:w="675" w:type="dxa"/>
        <w:tblLook w:val="01E0" w:firstRow="1" w:lastRow="1" w:firstColumn="1" w:lastColumn="1" w:noHBand="0" w:noVBand="0"/>
      </w:tblPr>
      <w:tblGrid>
        <w:gridCol w:w="4593"/>
        <w:gridCol w:w="5269"/>
      </w:tblGrid>
      <w:tr w:rsidR="00642247" w14:paraId="6EAC3FEC" w14:textId="77777777">
        <w:tc>
          <w:tcPr>
            <w:tcW w:w="4593" w:type="dxa"/>
            <w:shd w:val="clear" w:color="auto" w:fill="auto"/>
          </w:tcPr>
          <w:p w14:paraId="7310084C" w14:textId="77777777" w:rsidR="00642247" w:rsidRDefault="008A2D07">
            <w:pPr>
              <w:rPr>
                <w:lang w:val="uk-UA"/>
              </w:rPr>
            </w:pPr>
            <w:r>
              <w:rPr>
                <w:lang w:val="uk-UA"/>
              </w:rPr>
              <w:t xml:space="preserve">КРКА, д.д., Ново место </w:t>
            </w:r>
          </w:p>
          <w:p w14:paraId="491B3ACD" w14:textId="77777777" w:rsidR="00642247" w:rsidRDefault="008A2D07">
            <w:pPr>
              <w:rPr>
                <w:lang w:val="uk-UA"/>
              </w:rPr>
            </w:pPr>
            <w:r>
              <w:rPr>
                <w:lang w:val="uk-UA"/>
              </w:rPr>
              <w:t xml:space="preserve">Шмар’єшка цеста 6, </w:t>
            </w:r>
          </w:p>
          <w:p w14:paraId="34ABB998" w14:textId="77777777" w:rsidR="00642247" w:rsidRDefault="008A2D07">
            <w:pPr>
              <w:rPr>
                <w:lang w:val="uk-UA"/>
              </w:rPr>
            </w:pPr>
            <w:r>
              <w:rPr>
                <w:lang w:val="uk-UA"/>
              </w:rPr>
              <w:t xml:space="preserve">8501 Ново место, </w:t>
            </w:r>
          </w:p>
          <w:p w14:paraId="3AFBBE02" w14:textId="77777777" w:rsidR="00642247" w:rsidRDefault="008A2D07">
            <w:pPr>
              <w:rPr>
                <w:lang w:val="uk-UA"/>
              </w:rPr>
            </w:pPr>
            <w:r>
              <w:rPr>
                <w:lang w:val="uk-UA"/>
              </w:rPr>
              <w:t>Словенія</w:t>
            </w:r>
          </w:p>
        </w:tc>
        <w:tc>
          <w:tcPr>
            <w:tcW w:w="5269" w:type="dxa"/>
            <w:shd w:val="clear" w:color="auto" w:fill="auto"/>
          </w:tcPr>
          <w:p w14:paraId="66B518A2" w14:textId="77777777" w:rsidR="00642247" w:rsidRDefault="008A2D07">
            <w:pPr>
              <w:pStyle w:val="a5"/>
              <w:spacing w:before="0" w:beforeAutospacing="0" w:after="0" w:afterAutospacing="0"/>
            </w:pPr>
            <w:r>
              <w:t xml:space="preserve">КRKA, d.d., Novo mesto </w:t>
            </w:r>
          </w:p>
          <w:p w14:paraId="4C7EEABF" w14:textId="77777777" w:rsidR="00642247" w:rsidRDefault="008A2D07">
            <w:pPr>
              <w:rPr>
                <w:lang w:val="uk-UA"/>
              </w:rPr>
            </w:pPr>
            <w:r>
              <w:rPr>
                <w:lang w:val="uk-UA"/>
              </w:rPr>
              <w:t xml:space="preserve">Šmarješka cesta 6, </w:t>
            </w:r>
          </w:p>
          <w:p w14:paraId="3C0090CE" w14:textId="77777777" w:rsidR="00642247" w:rsidRDefault="008A2D07">
            <w:pPr>
              <w:rPr>
                <w:lang w:val="uk-UA"/>
              </w:rPr>
            </w:pPr>
            <w:r>
              <w:rPr>
                <w:lang w:val="uk-UA"/>
              </w:rPr>
              <w:t xml:space="preserve">8501 Novo mesto, </w:t>
            </w:r>
          </w:p>
          <w:p w14:paraId="7CC00C7E" w14:textId="77777777" w:rsidR="00642247" w:rsidRDefault="008A2D07">
            <w:pPr>
              <w:rPr>
                <w:lang w:val="uk-UA"/>
              </w:rPr>
            </w:pPr>
            <w:r>
              <w:rPr>
                <w:lang w:val="uk-UA"/>
              </w:rPr>
              <w:t>Slovenia</w:t>
            </w:r>
          </w:p>
        </w:tc>
      </w:tr>
    </w:tbl>
    <w:p w14:paraId="611D2E34" w14:textId="77777777" w:rsidR="00642247" w:rsidRDefault="008A2D07">
      <w:pPr>
        <w:pStyle w:val="31"/>
        <w:ind w:firstLine="567"/>
      </w:pPr>
      <w:r>
        <w:t xml:space="preserve">8. Назва та місцезнаходження виробника готового продукту                  </w:t>
      </w:r>
    </w:p>
    <w:tbl>
      <w:tblPr>
        <w:tblW w:w="0" w:type="auto"/>
        <w:tblInd w:w="675" w:type="dxa"/>
        <w:tblLook w:val="01E0" w:firstRow="1" w:lastRow="1" w:firstColumn="1" w:lastColumn="1" w:noHBand="0" w:noVBand="0"/>
      </w:tblPr>
      <w:tblGrid>
        <w:gridCol w:w="4593"/>
        <w:gridCol w:w="5269"/>
      </w:tblGrid>
      <w:tr w:rsidR="00642247" w14:paraId="79FFA0C0" w14:textId="77777777">
        <w:tc>
          <w:tcPr>
            <w:tcW w:w="4593" w:type="dxa"/>
            <w:shd w:val="clear" w:color="auto" w:fill="auto"/>
          </w:tcPr>
          <w:p w14:paraId="37826944" w14:textId="77777777" w:rsidR="00642247" w:rsidRDefault="008A2D07">
            <w:pPr>
              <w:rPr>
                <w:lang w:val="uk-UA"/>
              </w:rPr>
            </w:pPr>
            <w:r>
              <w:rPr>
                <w:lang w:val="uk-UA"/>
              </w:rPr>
              <w:t xml:space="preserve">КРКА, д.д., Ново место </w:t>
            </w:r>
          </w:p>
          <w:p w14:paraId="210D3085" w14:textId="77777777" w:rsidR="00642247" w:rsidRDefault="008A2D07">
            <w:pPr>
              <w:rPr>
                <w:lang w:val="uk-UA"/>
              </w:rPr>
            </w:pPr>
            <w:r>
              <w:rPr>
                <w:lang w:val="uk-UA"/>
              </w:rPr>
              <w:t xml:space="preserve">Шмар’єшка цеста 6, </w:t>
            </w:r>
          </w:p>
          <w:p w14:paraId="120B177D" w14:textId="77777777" w:rsidR="00642247" w:rsidRDefault="008A2D07">
            <w:pPr>
              <w:rPr>
                <w:lang w:val="uk-UA"/>
              </w:rPr>
            </w:pPr>
            <w:r>
              <w:rPr>
                <w:lang w:val="uk-UA"/>
              </w:rPr>
              <w:t xml:space="preserve">8501 Ново место, </w:t>
            </w:r>
          </w:p>
          <w:p w14:paraId="4E90E097" w14:textId="77777777" w:rsidR="00642247" w:rsidRDefault="008A2D07">
            <w:pPr>
              <w:rPr>
                <w:lang w:val="uk-UA"/>
              </w:rPr>
            </w:pPr>
            <w:r>
              <w:rPr>
                <w:lang w:val="uk-UA"/>
              </w:rPr>
              <w:t>Словенія</w:t>
            </w:r>
          </w:p>
        </w:tc>
        <w:tc>
          <w:tcPr>
            <w:tcW w:w="5269" w:type="dxa"/>
            <w:shd w:val="clear" w:color="auto" w:fill="auto"/>
          </w:tcPr>
          <w:p w14:paraId="2704D3F4" w14:textId="77777777" w:rsidR="00642247" w:rsidRDefault="008A2D07">
            <w:pPr>
              <w:pStyle w:val="a5"/>
              <w:spacing w:before="0" w:beforeAutospacing="0" w:after="0" w:afterAutospacing="0"/>
            </w:pPr>
            <w:r>
              <w:t xml:space="preserve">КRKA, d.d., Novo mesto </w:t>
            </w:r>
          </w:p>
          <w:p w14:paraId="7F43FBF9" w14:textId="77777777" w:rsidR="00642247" w:rsidRDefault="008A2D07">
            <w:pPr>
              <w:rPr>
                <w:lang w:val="uk-UA"/>
              </w:rPr>
            </w:pPr>
            <w:r>
              <w:rPr>
                <w:lang w:val="uk-UA"/>
              </w:rPr>
              <w:t xml:space="preserve">Šmarješka cesta 6, </w:t>
            </w:r>
          </w:p>
          <w:p w14:paraId="6E267278" w14:textId="77777777" w:rsidR="00642247" w:rsidRDefault="008A2D07">
            <w:pPr>
              <w:rPr>
                <w:lang w:val="uk-UA"/>
              </w:rPr>
            </w:pPr>
            <w:r>
              <w:rPr>
                <w:lang w:val="uk-UA"/>
              </w:rPr>
              <w:t xml:space="preserve">8501 Novo mesto, </w:t>
            </w:r>
          </w:p>
          <w:p w14:paraId="54025EE7" w14:textId="77777777" w:rsidR="00642247" w:rsidRDefault="008A2D07">
            <w:pPr>
              <w:rPr>
                <w:lang w:val="uk-UA"/>
              </w:rPr>
            </w:pPr>
            <w:r>
              <w:rPr>
                <w:lang w:val="uk-UA"/>
              </w:rPr>
              <w:t>Slovenia</w:t>
            </w:r>
          </w:p>
        </w:tc>
      </w:tr>
    </w:tbl>
    <w:p w14:paraId="5EC6E7F9" w14:textId="77777777" w:rsidR="00642247" w:rsidRDefault="008A2D07">
      <w:pPr>
        <w:ind w:firstLine="567"/>
        <w:jc w:val="both"/>
        <w:rPr>
          <w:lang w:val="uk-UA"/>
        </w:rPr>
      </w:pPr>
      <w:r>
        <w:rPr>
          <w:b/>
          <w:bCs/>
          <w:lang w:val="uk-UA"/>
        </w:rPr>
        <w:t>9. Додаткова інформація</w:t>
      </w:r>
    </w:p>
    <w:p w14:paraId="0FBE2FF9" w14:textId="77777777" w:rsidR="00642247" w:rsidRDefault="00642247">
      <w:pPr>
        <w:ind w:right="253" w:firstLine="567"/>
        <w:jc w:val="both"/>
        <w:rPr>
          <w:b/>
          <w:bCs/>
          <w:lang w:val="uk-UA"/>
        </w:rPr>
      </w:pPr>
    </w:p>
    <w:p w14:paraId="0E43283F" w14:textId="77777777" w:rsidR="00642247" w:rsidRDefault="00642247">
      <w:pPr>
        <w:ind w:right="253"/>
      </w:pPr>
    </w:p>
    <w:p w14:paraId="416BA29F" w14:textId="77777777" w:rsidR="00642247" w:rsidRDefault="00642247"/>
    <w:p w14:paraId="594A8E45" w14:textId="77777777" w:rsidR="00642247" w:rsidRDefault="00642247"/>
    <w:sectPr w:rsidR="00642247">
      <w:headerReference w:type="even" r:id="rId7"/>
      <w:headerReference w:type="default" r:id="rId8"/>
      <w:footerReference w:type="even" r:id="rId9"/>
      <w:footerReference w:type="default" r:id="rId10"/>
      <w:headerReference w:type="first" r:id="rId11"/>
      <w:footerReference w:type="first" r:id="rId12"/>
      <w:pgSz w:w="11906" w:h="16838"/>
      <w:pgMar w:top="851" w:right="454" w:bottom="45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04F1D5" w14:textId="77777777" w:rsidR="000B5461" w:rsidRDefault="000B5461">
      <w:r>
        <w:separator/>
      </w:r>
    </w:p>
  </w:endnote>
  <w:endnote w:type="continuationSeparator" w:id="0">
    <w:p w14:paraId="46CED8B3" w14:textId="77777777" w:rsidR="000B5461" w:rsidRDefault="000B54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BBFE92" w14:textId="77777777" w:rsidR="00642247" w:rsidRDefault="008A2D07">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3C222DD6" w14:textId="77777777" w:rsidR="00642247" w:rsidRDefault="00642247">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1768CE" w14:textId="77777777" w:rsidR="00642247" w:rsidRDefault="008A2D07">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8E3010">
      <w:rPr>
        <w:rStyle w:val="a7"/>
        <w:noProof/>
      </w:rPr>
      <w:t>3</w:t>
    </w:r>
    <w:r>
      <w:rPr>
        <w:rStyle w:val="a7"/>
      </w:rPr>
      <w:fldChar w:fldCharType="end"/>
    </w:r>
  </w:p>
  <w:p w14:paraId="021C6B8D" w14:textId="77777777" w:rsidR="00642247" w:rsidRDefault="00642247">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C43141" w14:textId="77777777" w:rsidR="00642247" w:rsidRDefault="0064224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E71917" w14:textId="77777777" w:rsidR="000B5461" w:rsidRDefault="000B5461">
      <w:r>
        <w:separator/>
      </w:r>
    </w:p>
  </w:footnote>
  <w:footnote w:type="continuationSeparator" w:id="0">
    <w:p w14:paraId="375236CB" w14:textId="77777777" w:rsidR="000B5461" w:rsidRDefault="000B54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28CEAB" w14:textId="77777777" w:rsidR="00642247" w:rsidRDefault="00642247">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E308D7" w14:textId="77777777" w:rsidR="00642247" w:rsidRDefault="00642247">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B7A88A" w14:textId="77777777" w:rsidR="00642247" w:rsidRDefault="00642247">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3A0E5A"/>
    <w:multiLevelType w:val="hybridMultilevel"/>
    <w:tmpl w:val="82740F8A"/>
    <w:lvl w:ilvl="0" w:tplc="79F09314">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3A0624E5"/>
    <w:multiLevelType w:val="hybridMultilevel"/>
    <w:tmpl w:val="1BDAE3CC"/>
    <w:lvl w:ilvl="0" w:tplc="7278FD9C">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 w15:restartNumberingAfterBreak="0">
    <w:nsid w:val="3D2F052A"/>
    <w:multiLevelType w:val="hybridMultilevel"/>
    <w:tmpl w:val="BB1C9BC0"/>
    <w:lvl w:ilvl="0" w:tplc="79F09314">
      <w:start w:val="1"/>
      <w:numFmt w:val="bullet"/>
      <w:lvlText w:val=""/>
      <w:lvlJc w:val="left"/>
      <w:pPr>
        <w:ind w:left="1069" w:hanging="360"/>
      </w:pPr>
      <w:rPr>
        <w:rFonts w:ascii="Symbol" w:hAnsi="Symbol"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3" w15:restartNumberingAfterBreak="0">
    <w:nsid w:val="40B237AF"/>
    <w:multiLevelType w:val="hybridMultilevel"/>
    <w:tmpl w:val="ED7C746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5252534D"/>
    <w:multiLevelType w:val="hybridMultilevel"/>
    <w:tmpl w:val="1674C2A8"/>
    <w:lvl w:ilvl="0" w:tplc="7278FD9C">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 w15:restartNumberingAfterBreak="0">
    <w:nsid w:val="56D15D9D"/>
    <w:multiLevelType w:val="hybridMultilevel"/>
    <w:tmpl w:val="D706931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62C6095D"/>
    <w:multiLevelType w:val="hybridMultilevel"/>
    <w:tmpl w:val="D2B6394C"/>
    <w:lvl w:ilvl="0" w:tplc="7278FD9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7AB36796"/>
    <w:multiLevelType w:val="hybridMultilevel"/>
    <w:tmpl w:val="6C321F3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3"/>
  </w:num>
  <w:num w:numId="4">
    <w:abstractNumId w:val="0"/>
  </w:num>
  <w:num w:numId="5">
    <w:abstractNumId w:val="2"/>
  </w:num>
  <w:num w:numId="6">
    <w:abstractNumId w:val="4"/>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2247"/>
    <w:rsid w:val="000B5461"/>
    <w:rsid w:val="00151856"/>
    <w:rsid w:val="001776E4"/>
    <w:rsid w:val="00525DCB"/>
    <w:rsid w:val="00642247"/>
    <w:rsid w:val="006438B7"/>
    <w:rsid w:val="00650895"/>
    <w:rsid w:val="008A2D07"/>
    <w:rsid w:val="008E3010"/>
    <w:rsid w:val="00AB673B"/>
    <w:rsid w:val="00C02075"/>
    <w:rsid w:val="00E318D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C85569"/>
  <w15:chartTrackingRefBased/>
  <w15:docId w15:val="{D9BD66AE-23F1-4F83-9B09-B9123D4FE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Indent 2"/>
    <w:basedOn w:val="a"/>
    <w:pPr>
      <w:ind w:left="34"/>
    </w:pPr>
    <w:rPr>
      <w:rFonts w:ascii="Arial" w:hAnsi="Arial" w:cs="Arial"/>
      <w:sz w:val="20"/>
      <w:szCs w:val="20"/>
      <w:lang w:val="uk-UA" w:eastAsia="en-US"/>
    </w:rPr>
  </w:style>
  <w:style w:type="paragraph" w:styleId="a4">
    <w:name w:val="Body Text"/>
    <w:basedOn w:val="a"/>
    <w:pPr>
      <w:spacing w:after="120"/>
    </w:pPr>
  </w:style>
  <w:style w:type="paragraph" w:styleId="a5">
    <w:name w:val="Normal (Web)"/>
    <w:basedOn w:val="a"/>
    <w:pPr>
      <w:spacing w:before="100" w:beforeAutospacing="1" w:after="100" w:afterAutospacing="1"/>
    </w:pPr>
    <w:rPr>
      <w:lang w:val="uk-UA" w:eastAsia="uk-UA"/>
    </w:rPr>
  </w:style>
  <w:style w:type="paragraph" w:styleId="a6">
    <w:name w:val="footer"/>
    <w:basedOn w:val="a"/>
    <w:pPr>
      <w:tabs>
        <w:tab w:val="center" w:pos="4819"/>
        <w:tab w:val="right" w:pos="9639"/>
      </w:tabs>
    </w:pPr>
  </w:style>
  <w:style w:type="character" w:styleId="a7">
    <w:name w:val="page number"/>
    <w:basedOn w:val="a0"/>
  </w:style>
  <w:style w:type="paragraph" w:customStyle="1" w:styleId="31">
    <w:name w:val="Основной текст с отступом 31"/>
    <w:basedOn w:val="a"/>
    <w:pPr>
      <w:widowControl w:val="0"/>
      <w:suppressAutoHyphens/>
      <w:ind w:firstLine="720"/>
      <w:jc w:val="both"/>
    </w:pPr>
    <w:rPr>
      <w:b/>
      <w:szCs w:val="20"/>
      <w:lang w:val="uk-UA" w:eastAsia="ar-SA"/>
    </w:rPr>
  </w:style>
  <w:style w:type="paragraph" w:customStyle="1" w:styleId="Standard">
    <w:name w:val="Standard"/>
    <w:pPr>
      <w:suppressAutoHyphens/>
    </w:pPr>
    <w:rPr>
      <w:rFonts w:ascii="Arial" w:eastAsia="Arial" w:hAnsi="Arial"/>
      <w:sz w:val="24"/>
      <w:lang w:val="ru-RU" w:eastAsia="ar-SA"/>
    </w:rPr>
  </w:style>
  <w:style w:type="paragraph" w:styleId="20">
    <w:name w:val="Body Text 2"/>
    <w:basedOn w:val="a"/>
    <w:link w:val="21"/>
    <w:pPr>
      <w:spacing w:after="120" w:line="480" w:lineRule="auto"/>
    </w:pPr>
    <w:rPr>
      <w:szCs w:val="20"/>
      <w:lang w:val="sl-SI" w:eastAsia="sl-SI"/>
    </w:rPr>
  </w:style>
  <w:style w:type="character" w:customStyle="1" w:styleId="21">
    <w:name w:val="Основной текст 2 Знак"/>
    <w:link w:val="20"/>
    <w:rPr>
      <w:sz w:val="24"/>
      <w:lang w:val="sl-SI" w:eastAsia="sl-SI"/>
    </w:rPr>
  </w:style>
  <w:style w:type="paragraph" w:styleId="a8">
    <w:name w:val="header"/>
    <w:basedOn w:val="a"/>
    <w:link w:val="a9"/>
    <w:pPr>
      <w:tabs>
        <w:tab w:val="center" w:pos="4320"/>
        <w:tab w:val="right" w:pos="8640"/>
      </w:tabs>
    </w:pPr>
    <w:rPr>
      <w:szCs w:val="20"/>
      <w:lang w:val="sl-SI" w:eastAsia="sl-SI"/>
    </w:rPr>
  </w:style>
  <w:style w:type="character" w:customStyle="1" w:styleId="a9">
    <w:name w:val="Верхний колонтитул Знак"/>
    <w:link w:val="a8"/>
    <w:rPr>
      <w:sz w:val="24"/>
      <w:lang w:val="sl-SI" w:eastAsia="sl-SI"/>
    </w:rPr>
  </w:style>
  <w:style w:type="paragraph" w:customStyle="1" w:styleId="22">
    <w:name w:val="Знак Знак2 Знак Знак"/>
    <w:basedOn w:val="a"/>
    <w:rPr>
      <w:rFonts w:ascii="Verdana" w:hAnsi="Verdana" w:cs="Verdana"/>
      <w:sz w:val="20"/>
      <w:szCs w:val="20"/>
      <w:lang w:val="en-US" w:eastAsia="en-US"/>
    </w:rPr>
  </w:style>
  <w:style w:type="paragraph" w:customStyle="1" w:styleId="aa">
    <w:name w:val="Знак Знак Знак"/>
    <w:basedOn w:val="a"/>
    <w:rPr>
      <w:rFonts w:ascii="Verdana" w:hAnsi="Verdana" w:cs="Verdana"/>
      <w:sz w:val="20"/>
      <w:szCs w:val="20"/>
      <w:lang w:val="en-US" w:eastAsia="en-US"/>
    </w:rPr>
  </w:style>
  <w:style w:type="paragraph" w:customStyle="1" w:styleId="ab">
    <w:name w:val="Знак Знак Знак"/>
    <w:basedOn w:val="a"/>
    <w:rPr>
      <w:rFonts w:ascii="Verdana" w:hAnsi="Verdana" w:cs="Verdana"/>
      <w:sz w:val="20"/>
      <w:szCs w:val="20"/>
      <w:lang w:val="en-US" w:eastAsia="en-US"/>
    </w:rPr>
  </w:style>
  <w:style w:type="paragraph" w:customStyle="1" w:styleId="1">
    <w:name w:val="Знак Знак1"/>
    <w:basedOn w:val="a"/>
    <w:rPr>
      <w:rFonts w:ascii="Verdana" w:hAnsi="Verdana" w:cs="Verdana"/>
      <w:sz w:val="20"/>
      <w:szCs w:val="20"/>
      <w:lang w:val="en-US" w:eastAsia="en-US"/>
    </w:rPr>
  </w:style>
  <w:style w:type="paragraph" w:styleId="ac">
    <w:name w:val="No Spacing"/>
    <w:basedOn w:val="a"/>
    <w:uiPriority w:val="1"/>
    <w:qFormat/>
    <w:rPr>
      <w:rFonts w:ascii="Calibri" w:hAnsi="Calibri"/>
      <w:szCs w:val="32"/>
      <w:lang w:val="uk-UA" w:eastAsia="uk-UA"/>
    </w:rPr>
  </w:style>
  <w:style w:type="paragraph" w:styleId="ad">
    <w:name w:val="Revision"/>
    <w:hidden/>
    <w:uiPriority w:val="99"/>
    <w:semiHidden/>
    <w:rsid w:val="00650895"/>
    <w:rPr>
      <w:sz w:val="24"/>
      <w:szCs w:val="24"/>
      <w:lang w:val="ru-RU" w:eastAsia="ru-RU"/>
    </w:rPr>
  </w:style>
  <w:style w:type="paragraph" w:styleId="ae">
    <w:name w:val="Balloon Text"/>
    <w:basedOn w:val="a"/>
    <w:link w:val="af"/>
    <w:semiHidden/>
    <w:unhideWhenUsed/>
    <w:rsid w:val="00525DCB"/>
    <w:rPr>
      <w:rFonts w:ascii="Segoe UI" w:hAnsi="Segoe UI" w:cs="Segoe UI"/>
      <w:sz w:val="18"/>
      <w:szCs w:val="18"/>
    </w:rPr>
  </w:style>
  <w:style w:type="character" w:customStyle="1" w:styleId="af">
    <w:name w:val="Текст выноски Знак"/>
    <w:basedOn w:val="a0"/>
    <w:link w:val="ae"/>
    <w:semiHidden/>
    <w:rsid w:val="00525DCB"/>
    <w:rPr>
      <w:rFonts w:ascii="Segoe UI"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97206">
      <w:bodyDiv w:val="1"/>
      <w:marLeft w:val="0"/>
      <w:marRight w:val="0"/>
      <w:marTop w:val="0"/>
      <w:marBottom w:val="0"/>
      <w:divBdr>
        <w:top w:val="none" w:sz="0" w:space="0" w:color="auto"/>
        <w:left w:val="none" w:sz="0" w:space="0" w:color="auto"/>
        <w:bottom w:val="none" w:sz="0" w:space="0" w:color="auto"/>
        <w:right w:val="none" w:sz="0" w:space="0" w:color="auto"/>
      </w:divBdr>
    </w:div>
    <w:div w:id="133523885">
      <w:bodyDiv w:val="1"/>
      <w:marLeft w:val="0"/>
      <w:marRight w:val="0"/>
      <w:marTop w:val="0"/>
      <w:marBottom w:val="0"/>
      <w:divBdr>
        <w:top w:val="none" w:sz="0" w:space="0" w:color="auto"/>
        <w:left w:val="none" w:sz="0" w:space="0" w:color="auto"/>
        <w:bottom w:val="none" w:sz="0" w:space="0" w:color="auto"/>
        <w:right w:val="none" w:sz="0" w:space="0" w:color="auto"/>
      </w:divBdr>
    </w:div>
    <w:div w:id="819007705">
      <w:bodyDiv w:val="1"/>
      <w:marLeft w:val="0"/>
      <w:marRight w:val="0"/>
      <w:marTop w:val="0"/>
      <w:marBottom w:val="0"/>
      <w:divBdr>
        <w:top w:val="none" w:sz="0" w:space="0" w:color="auto"/>
        <w:left w:val="none" w:sz="0" w:space="0" w:color="auto"/>
        <w:bottom w:val="none" w:sz="0" w:space="0" w:color="auto"/>
        <w:right w:val="none" w:sz="0" w:space="0" w:color="auto"/>
      </w:divBdr>
    </w:div>
    <w:div w:id="1101150040">
      <w:bodyDiv w:val="1"/>
      <w:marLeft w:val="0"/>
      <w:marRight w:val="0"/>
      <w:marTop w:val="0"/>
      <w:marBottom w:val="0"/>
      <w:divBdr>
        <w:top w:val="none" w:sz="0" w:space="0" w:color="auto"/>
        <w:left w:val="none" w:sz="0" w:space="0" w:color="auto"/>
        <w:bottom w:val="none" w:sz="0" w:space="0" w:color="auto"/>
        <w:right w:val="none" w:sz="0" w:space="0" w:color="auto"/>
      </w:divBdr>
    </w:div>
    <w:div w:id="1976794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1072</Words>
  <Characters>7560</Characters>
  <Application>Microsoft Office Word</Application>
  <DocSecurity>0</DocSecurity>
  <Lines>63</Lines>
  <Paragraphs>17</Paragraphs>
  <ScaleCrop>false</ScaleCrop>
  <HeadingPairs>
    <vt:vector size="10" baseType="variant">
      <vt:variant>
        <vt:lpstr>Title</vt:lpstr>
      </vt:variant>
      <vt:variant>
        <vt:i4>1</vt:i4>
      </vt:variant>
      <vt:variant>
        <vt:lpstr>Naslov</vt:lpstr>
      </vt:variant>
      <vt:variant>
        <vt:i4>1</vt:i4>
      </vt:variant>
      <vt:variant>
        <vt:lpstr>Podnaslovi</vt:lpstr>
      </vt:variant>
      <vt:variant>
        <vt:i4>1</vt:i4>
      </vt:variant>
      <vt:variant>
        <vt:lpstr>Название</vt:lpstr>
      </vt:variant>
      <vt:variant>
        <vt:i4>1</vt:i4>
      </vt:variant>
      <vt:variant>
        <vt:lpstr>Назва</vt:lpstr>
      </vt:variant>
      <vt:variant>
        <vt:i4>1</vt:i4>
      </vt:variant>
    </vt:vector>
  </HeadingPairs>
  <TitlesOfParts>
    <vt:vector size="5" baseType="lpstr">
      <vt:lpstr>Додаток 1</vt:lpstr>
      <vt:lpstr>Додаток 1</vt:lpstr>
      <vt:lpstr>7. Назва та місцезнаходження власника реєстраційного посвідчення</vt:lpstr>
      <vt:lpstr>Додаток 1</vt:lpstr>
      <vt:lpstr>Додаток 1</vt:lpstr>
    </vt:vector>
  </TitlesOfParts>
  <Company>Krka, d.d.</Company>
  <LinksUpToDate>false</LinksUpToDate>
  <CharactersWithSpaces>8615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1</dc:title>
  <dc:subject/>
  <dc:creator>Коблова</dc:creator>
  <cp:keywords/>
  <cp:lastModifiedBy>Vasyl</cp:lastModifiedBy>
  <cp:revision>6</cp:revision>
  <cp:lastPrinted>2008-05-19T07:28:00Z</cp:lastPrinted>
  <dcterms:created xsi:type="dcterms:W3CDTF">2025-07-14T13:23:00Z</dcterms:created>
  <dcterms:modified xsi:type="dcterms:W3CDTF">2025-09-19T13:21:00Z</dcterms:modified>
</cp:coreProperties>
</file>